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Listino abbonamenti e agevolazioni</w:t>
      </w:r>
    </w:p>
    <w:p>
      <w:pPr>
        <w:jc w:val="center"/>
      </w:pPr>
      <w:r>
        <w:rPr>
          <w:i/>
          <w:color w:val="605D5D"/>
        </w:rPr>
        <w:t>«Il Vortice» – Comitato editoriale · prezzi fissi per il triennio novembre 2026 – ottobre 2029</w:t>
      </w:r>
    </w:p>
    <w:p>
      <w:pPr>
        <w:jc w:val="both"/>
      </w:pPr>
      <w:r>
        <w:rPr>
          <w:b/>
          <w:i w:val="0"/>
        </w:rPr>
        <w:t>Abbonamento annuale ordinario</w:t>
      </w:r>
      <w:r>
        <w:rPr>
          <w:b w:val="0"/>
          <w:i w:val="0"/>
        </w:rPr>
        <w:t>: 25 € (12 numeri digitali, versione audio, contenuti V-Cult).</w:t>
      </w:r>
    </w:p>
    <w:p>
      <w:pPr>
        <w:jc w:val="both"/>
      </w:pPr>
      <w:r>
        <w:rPr>
          <w:b/>
          <w:i w:val="0"/>
        </w:rPr>
        <w:t>Enti del Comitato editoriale</w:t>
      </w:r>
      <w:r>
        <w:rPr>
          <w:b w:val="0"/>
          <w:i w:val="0"/>
        </w:rPr>
        <w:t xml:space="preserve"> (contratto da almeno 100 abbonamenti):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3515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Agevolazione</w:t>
            </w:r>
          </w:p>
        </w:tc>
        <w:tc>
          <w:tcPr>
            <w:tcW w:type="dxa" w:w="1871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100–499</w:t>
            </w:r>
          </w:p>
        </w:tc>
        <w:tc>
          <w:tcPr>
            <w:tcW w:type="dxa" w:w="1871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500–1.000</w:t>
            </w:r>
          </w:p>
        </w:tc>
        <w:tc>
          <w:tcPr>
            <w:tcW w:type="dxa" w:w="2041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Oltre 1.000</w:t>
            </w:r>
          </w:p>
        </w:tc>
      </w:tr>
      <w:tr>
        <w:tc>
          <w:tcPr>
            <w:tcW w:type="dxa" w:w="351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Prezzo unitario annuo dell'abbonamento (listino ordinario 25 €)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20 €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18 €</w:t>
            </w:r>
          </w:p>
        </w:tc>
        <w:tc>
          <w:tcPr>
            <w:tcW w:type="dxa" w:w="204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15 €</w:t>
            </w:r>
          </w:p>
        </w:tc>
      </w:tr>
      <w:tr>
        <w:tc>
          <w:tcPr>
            <w:tcW w:type="dxa" w:w="351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Ingresso nel Comitato editoriale con un rappresentante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  <w:tc>
          <w:tcPr>
            <w:tcW w:type="dxa" w:w="204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</w:tr>
      <w:tr>
        <w:tc>
          <w:tcPr>
            <w:tcW w:type="dxa" w:w="351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Logo e nome dell'ente nella pagina «Comitato editoriale» del mensile e del sito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  <w:tc>
          <w:tcPr>
            <w:tcW w:type="dxa" w:w="204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</w:tr>
      <w:tr>
        <w:tc>
          <w:tcPr>
            <w:tcW w:type="dxa" w:w="351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Pagine dedicate nel mensile («Spazio a cura di …»)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 pagina l'anno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 pagina a trimestre (4 l'anno)</w:t>
            </w:r>
          </w:p>
        </w:tc>
        <w:tc>
          <w:tcPr>
            <w:tcW w:type="dxa" w:w="204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 pagina in ogni numero</w:t>
            </w:r>
          </w:p>
        </w:tc>
      </w:tr>
      <w:tr>
        <w:tc>
          <w:tcPr>
            <w:tcW w:type="dxa" w:w="351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Pubblicazioni sui canali social del Vortice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 post al mese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2 post al mese</w:t>
            </w:r>
          </w:p>
        </w:tc>
        <w:tc>
          <w:tcPr>
            <w:tcW w:type="dxa" w:w="204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4 post al mese + 1 video V-Cult l'anno</w:t>
            </w:r>
          </w:p>
        </w:tc>
      </w:tr>
      <w:tr>
        <w:tc>
          <w:tcPr>
            <w:tcW w:type="dxa" w:w="351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Segnalazione di eventi e iniziative nella rubrica «Eventi»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  <w:tc>
          <w:tcPr>
            <w:tcW w:type="dxa" w:w="204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sì, con priorità</w:t>
            </w:r>
          </w:p>
        </w:tc>
      </w:tr>
      <w:tr>
        <w:tc>
          <w:tcPr>
            <w:tcW w:type="dxa" w:w="351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Sconto sugli abbonamenti aggiuntivi in corso d'anno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stessa tariffa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stessa tariffa</w:t>
            </w:r>
          </w:p>
        </w:tc>
        <w:tc>
          <w:tcPr>
            <w:tcW w:type="dxa" w:w="204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stessa tariffa</w:t>
            </w:r>
          </w:p>
        </w:tc>
      </w:tr>
      <w:tr>
        <w:tc>
          <w:tcPr>
            <w:tcW w:type="dxa" w:w="351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Partecipazione agli eventi e agli incontri annuali del Comitato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  <w:tc>
          <w:tcPr>
            <w:tcW w:type="dxa" w:w="204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sì</w:t>
            </w:r>
          </w:p>
        </w:tc>
      </w:tr>
      <w:tr>
        <w:tc>
          <w:tcPr>
            <w:tcW w:type="dxa" w:w="351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Abbonamenti «sospesi» da donare ad altri enti o a persone in difficoltà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facoltativi</w:t>
            </w:r>
          </w:p>
        </w:tc>
        <w:tc>
          <w:tcPr>
            <w:tcW w:type="dxa" w:w="187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facoltativi</w:t>
            </w:r>
          </w:p>
        </w:tc>
        <w:tc>
          <w:tcPr>
            <w:tcW w:type="dxa" w:w="2041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facoltativi</w:t>
            </w:r>
          </w:p>
        </w:tc>
      </w:tr>
    </w:tbl>
    <w:p/>
    <w:p>
      <w:pPr>
        <w:jc w:val="both"/>
      </w:pPr>
      <w:r>
        <w:rPr>
          <w:b w:val="0"/>
          <w:i w:val="0"/>
        </w:rPr>
        <w:t xml:space="preserve">Il contratto con gli enti del Comitato è </w:t>
      </w:r>
      <w:r>
        <w:rPr>
          <w:b/>
          <w:i w:val="0"/>
        </w:rPr>
        <w:t>triennale</w:t>
      </w:r>
      <w:r>
        <w:rPr>
          <w:b w:val="0"/>
          <w:i w:val="0"/>
        </w:rPr>
        <w:t>: l'ente si impegna ad acquistare lo stesso numero minimo di abbonamenti per tre anni, al prezzo fisso della propria fascia; poi il contratto si rinnova di anno in anno, salvo disdetta.</w:t>
      </w:r>
    </w:p>
    <w:p>
      <w:pPr>
        <w:pStyle w:val="Heading3"/>
      </w:pPr>
      <w:r>
        <w:t>Esempi di corrispettivo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1984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Abbonamenti</w:t>
            </w:r>
          </w:p>
        </w:tc>
        <w:tc>
          <w:tcPr>
            <w:tcW w:type="dxa" w:w="1984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Prezzo unitario</w:t>
            </w:r>
          </w:p>
        </w:tc>
        <w:tc>
          <w:tcPr>
            <w:tcW w:type="dxa" w:w="2268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Totale annuo</w:t>
            </w:r>
          </w:p>
        </w:tc>
        <w:tc>
          <w:tcPr>
            <w:tcW w:type="dxa" w:w="2268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Totale triennio</w:t>
            </w:r>
          </w:p>
        </w:tc>
      </w:tr>
      <w:tr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100</w:t>
            </w:r>
          </w:p>
        </w:tc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20 €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2.000,00 €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6.000,00 €</w:t>
            </w:r>
          </w:p>
        </w:tc>
      </w:tr>
      <w:tr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300</w:t>
            </w:r>
          </w:p>
        </w:tc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20 €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6.000,00 €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18.000,00 €</w:t>
            </w:r>
          </w:p>
        </w:tc>
      </w:tr>
      <w:tr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500</w:t>
            </w:r>
          </w:p>
        </w:tc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18 €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9.000,00 €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27.000,00 €</w:t>
            </w:r>
          </w:p>
        </w:tc>
      </w:tr>
      <w:tr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1.000</w:t>
            </w:r>
          </w:p>
        </w:tc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18 €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18.000,00 €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54.000,00 €</w:t>
            </w:r>
          </w:p>
        </w:tc>
      </w:tr>
      <w:tr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1.001</w:t>
            </w:r>
          </w:p>
        </w:tc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15 €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15.015,00 €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45.045,00 €</w:t>
            </w:r>
          </w:p>
        </w:tc>
      </w:tr>
      <w:tr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2.700</w:t>
            </w:r>
          </w:p>
        </w:tc>
        <w:tc>
          <w:tcPr>
            <w:tcW w:type="dxa" w:w="1984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15 €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40.500,00 €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121.500,00 €</w:t>
            </w:r>
          </w:p>
        </w:tc>
      </w:tr>
    </w:tbl>
    <w:p/>
    <w:p>
      <w:pPr>
        <w:jc w:val="both"/>
      </w:pPr>
      <w:r>
        <w:rPr>
          <w:b w:val="0"/>
          <w:i/>
          <w:sz w:val="21"/>
        </w:rPr>
        <w:t>Nota: oltre 1.000 abbonamenti il prezzo scende a 15 € per tutti gli abbonamenti, quindi 1.001 abbonamenti costano meno di 1.000. Se si vuole evitare questo effetto, la tariffa di 15 € può essere applicata solo agli abbonamenti oltre il millesimo.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418" w:bottom="1418" w:left="1418" w:header="794" w:footer="5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6132A14C" w14:textId="77777777" w:rsidR="00300245" w:rsidRDefault="000E441B">
    <w:pPr>
      <w:pBdr>
        <w:top w:val="single" w:sz="4" w:space="6" w:color="B68235"/>
      </w:pBdr>
      <w:spacing w:after="0" w:line="240" w:lineRule="auto"/>
      <w:jc w:val="center"/>
      <w:rPr>
        <w:rFonts w:ascii="Cormorant Garamond" w:hAnsi="Cormorant Garamond" w:cs="Cormorant Garamond"/>
        <w:caps/>
        <w:color w:val="605D5D"/>
        <w:spacing w:val="22"/>
        <w:sz w:val="12"/>
        <w:szCs w:val="12"/>
      </w:rPr>
    </w:pPr>
    <w:r>
      <w:rPr>
        <w:rFonts w:ascii="Cormorant Garamond" w:hAnsi="Cormorant Garamond" w:cs="Cormorant Garamond"/>
        <w:caps/>
        <w:color w:val="605D5D"/>
        <w:spacing w:val="22"/>
        <w:sz w:val="12"/>
        <w:szCs w:val="12"/>
      </w:rPr>
      <w:t>vIA aDRIANO AUROFINO, 25 – 84127 sALERNO (SA)</w:t>
    </w:r>
  </w:p>
  <w:p w14:paraId="6E62D9EA" w14:textId="77777777" w:rsidR="000E441B" w:rsidRPr="000E441B" w:rsidRDefault="000E441B">
    <w:pPr>
      <w:pBdr>
        <w:top w:val="single" w:sz="4" w:space="6" w:color="B68235"/>
      </w:pBdr>
      <w:spacing w:after="0" w:line="240" w:lineRule="auto"/>
      <w:jc w:val="center"/>
      <w:rPr>
        <w:lang w:val="fr-FR"/>
      </w:rPr>
    </w:pP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cf/p</w:t>
    </w:r>
    <w:r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.iva 05819580654 - </w:t>
    </w: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tEL</w:t>
    </w:r>
    <w:proofErr w:type="gramStart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.:</w:t>
    </w:r>
    <w:proofErr w:type="gramEnd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089-724572 e-mAIL: MATRESSRL@GMAIL.COM </w:t>
    </w:r>
  </w:p>
  <w:p>
    <w:pPr>
      <w:spacing w:before="40"/>
      <w:jc w:val="center"/>
    </w:pP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44" w:type="dxa"/>
      <w:tblInd w:w="-709" w:type="dxa"/>
      <w:tblBorders>
        <w:bottom w:val="single" w:sz="4" w:space="0" w:color="D6D3D3"/>
      </w:tblBorders>
      <w:tblCellMar>
        <w:left w:w="0" w:type="dxa"/>
        <w:bottom w:w="140" w:type="dxa"/>
        <w:right w:w="0" w:type="dxa"/>
      </w:tblCellMar>
      <w:tblLook w:val="04A0" w:firstRow="1" w:lastRow="0" w:firstColumn="1" w:lastColumn="0" w:noHBand="0" w:noVBand="1"/>
    </w:tblPr>
    <w:tblGrid>
      <w:gridCol w:w="142"/>
      <w:gridCol w:w="5902"/>
      <w:gridCol w:w="3600"/>
    </w:tblGrid>
    <w:tr w:rsidR="000E441B" w:rsidRPr="000E441B" w14:paraId="3FE13EA9" w14:textId="77777777" w:rsidTr="002C48D3">
      <w:trPr>
        <w:trHeight w:val="1500"/>
      </w:trPr>
      <w:tc>
        <w:tcPr>
          <w:tcW w:w="142" w:type="dxa"/>
          <w:vAlign w:val="center"/>
        </w:tcPr>
        <w:p w14:paraId="013E13F0" w14:textId="77777777" w:rsidR="000E441B" w:rsidRDefault="000E441B">
          <w:pPr>
            <w:spacing w:after="0"/>
          </w:pPr>
        </w:p>
      </w:tc>
      <w:tc>
        <w:tcPr>
          <w:tcW w:w="5902" w:type="dxa"/>
          <w:vAlign w:val="center"/>
        </w:tcPr>
        <w:p w14:paraId="458F7F61" w14:textId="77777777" w:rsidR="000E441B" w:rsidRDefault="002C48D3" w:rsidP="002C48D3">
          <w:pPr>
            <w:pStyle w:val="Paragrafoelenco"/>
            <w:numPr>
              <w:ilvl w:val="0"/>
              <w:numId w:val="1"/>
            </w:numPr>
            <w:pBdr>
              <w:bottom w:val="single" w:sz="4" w:space="2" w:color="B68235"/>
            </w:pBdr>
            <w:tabs>
              <w:tab w:val="clear" w:pos="720"/>
            </w:tabs>
            <w:spacing w:after="40" w:line="240" w:lineRule="auto"/>
            <w:ind w:left="3"/>
          </w:pPr>
          <w:r w:rsidRPr="00624294">
            <w:rPr>
              <w:noProof/>
            </w:rPr>
            <w:drawing>
              <wp:inline distT="0" distB="0" distL="0" distR="0" wp14:anchorId="3A972F5B" wp14:editId="55009225">
                <wp:extent cx="323850" cy="323850"/>
                <wp:effectExtent l="0" t="0" r="0" b="0"/>
                <wp:docPr id="75" name="Simbolo Mat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mbolo Matr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  <w:r w:rsidR="000E441B" w:rsidRPr="002C48D3">
            <w:rPr>
              <w:rFonts w:ascii="Cormorant Garamond" w:hAnsi="Cormorant Garamond" w:cs="Cormorant Garamond"/>
              <w:caps/>
              <w:spacing w:val="48"/>
              <w:sz w:val="40"/>
              <w:szCs w:val="40"/>
            </w:rPr>
            <w:t>MATRES</w:t>
          </w:r>
        </w:p>
        <w:p w14:paraId="2D1697FD" w14:textId="77777777" w:rsidR="002C48D3" w:rsidRDefault="000E441B">
          <w:pPr>
            <w:spacing w:before="60" w:after="0" w:line="240" w:lineRule="auto"/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</w:pP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COMUNICAZIONE, RICERCA E FORMAZIONE</w:t>
          </w:r>
          <w:r>
            <w:br/>
          </w: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S.R.L. IMPRESA SOCIALE</w:t>
          </w:r>
        </w:p>
      </w:tc>
      <w:tc>
        <w:tcPr>
          <w:tcW w:w="3600" w:type="dxa"/>
          <w:vAlign w:val="center"/>
        </w:tcPr>
        <w:p w14:paraId="56D18B7E" w14:textId="77777777" w:rsidR="00926E86" w:rsidRDefault="001C05C1">
          <w:pPr>
            <w:spacing w:after="0" w:line="240" w:lineRule="auto"/>
            <w:jc w:val="right"/>
          </w:pPr>
          <w:r>
            <w:rPr>
              <w:noProof/>
            </w:rPr>
            <w:drawing>
              <wp:inline distT="0" distB="0" distL="0" distR="0" wp14:anchorId="11F3785A" wp14:editId="50B1B24D">
                <wp:extent cx="1647825" cy="929543"/>
                <wp:effectExtent l="0" t="0" r="0" b="444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944" cy="937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2DA3B9" w14:textId="77777777" w:rsidR="00300245" w:rsidRDefault="00300245">
    <w:pPr>
      <w:spacing w:after="0"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aramond" w:hAnsi="Garamond" w:eastAsia="Garamond"/>
      <w:color w:val="201F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Garamond" w:hAnsi="Garamond"/>
      <w:b/>
      <w:bCs/>
      <w:color w:val="B68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aramond" w:hAnsi="Garamond"/>
      <w:b/>
      <w:bCs/>
      <w:color w:val="B682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Garamond" w:hAnsi="Garamond"/>
      <w:b/>
      <w:bCs/>
      <w:color w:val="201F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MATRES S.r.l. Impresa Sociale – Il Vortice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