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Regolamento del Comitato editoriale de «Il Vortice»</w:t>
      </w:r>
    </w:p>
    <w:p>
      <w:pPr>
        <w:jc w:val="center"/>
      </w:pPr>
      <w:r>
        <w:rPr>
          <w:i/>
          <w:color w:val="605D5D"/>
        </w:rPr>
        <w:t>Allegato 1 alla Determina dell'Amministratore Unico di Matres n. ____ / 2026</w:t>
      </w:r>
    </w:p>
    <w:p>
      <w:pPr>
        <w:pStyle w:val="Heading3"/>
      </w:pPr>
      <w:r>
        <w:t>Art. 1 – Istituzione e finalità</w:t>
      </w:r>
    </w:p>
    <w:p>
      <w:pPr>
        <w:jc w:val="both"/>
      </w:pPr>
      <w:r>
        <w:rPr>
          <w:b w:val="0"/>
          <w:i w:val="0"/>
        </w:rPr>
        <w:t>1. È istituito il Comitato editoriale de «Il Vortice» (di seguito «Comitato»), testata edita da MATRES – Comunicazione, Ricerca e Formazione S.r.l. Impresa Sociale (di seguito «Editore»).</w:t>
      </w:r>
    </w:p>
    <w:p>
      <w:pPr>
        <w:jc w:val="both"/>
      </w:pPr>
      <w:r>
        <w:rPr>
          <w:b w:val="0"/>
          <w:i w:val="0"/>
        </w:rPr>
        <w:t>2. Il Comitato è lo spazio di lavoro comune in cui enti del Terzo settore, imprese sociali, scuole, università e altre organizzazioni che sostengono la testata collaborano con la redazione per fare informazione sociale accessibile, dare voce alle persone e ai territori e costruire campagne di sensibilizzazione e partecipazione nell'interesse generale.</w:t>
      </w:r>
    </w:p>
    <w:p>
      <w:pPr>
        <w:jc w:val="both"/>
      </w:pPr>
      <w:r>
        <w:rPr>
          <w:b w:val="0"/>
          <w:i w:val="0"/>
        </w:rPr>
        <w:t>3. Il Comitato è una forma di coinvolgimento dei portatori di interesse ai sensi dell'art. 11 del D.Lgs. 112/2017.</w:t>
      </w:r>
    </w:p>
    <w:p>
      <w:pPr>
        <w:pStyle w:val="Heading3"/>
      </w:pPr>
      <w:r>
        <w:t>Art. 2 – Funzioni</w:t>
      </w:r>
    </w:p>
    <w:p>
      <w:pPr>
        <w:jc w:val="both"/>
      </w:pPr>
      <w:r>
        <w:rPr>
          <w:b w:val="0"/>
          <w:i w:val="0"/>
        </w:rPr>
        <w:t>1. Il Comitato: a) propone alla redazione temi, inchieste, storie e rubriche; b) esprime pareri sul piano editoriale annuale; c) promuove campagne di informazione e mobilitazione condivise tra gli enti; d) segnala eventi, buone pratiche e iniziative dei territori; e) collabora alla diffusione della testata e alla raccolta di nuovi abbonamenti; f) contribuisce all'organizzazione di eventi pubblici della testata.</w:t>
      </w:r>
    </w:p>
    <w:p>
      <w:pPr>
        <w:jc w:val="both"/>
      </w:pPr>
      <w:r>
        <w:rPr>
          <w:b w:val="0"/>
          <w:i w:val="0"/>
        </w:rPr>
        <w:t>2. I pareri del Comitato sono consultivi e non vincolanti. Restano ferme l'autonomia della redazione e le prerogative e responsabilità del direttore responsabile previste dalla L. 8 febbraio 1948, n. 47.</w:t>
      </w:r>
    </w:p>
    <w:p>
      <w:pPr>
        <w:pStyle w:val="Heading3"/>
      </w:pPr>
      <w:r>
        <w:t>Art. 3 – Composizione e ingresso automatico</w:t>
      </w:r>
    </w:p>
    <w:p>
      <w:pPr>
        <w:jc w:val="both"/>
      </w:pPr>
      <w:r>
        <w:rPr>
          <w:b w:val="0"/>
          <w:i w:val="0"/>
        </w:rPr>
        <w:t xml:space="preserve">1. Fanno parte del Comitato, di diritto e senza ulteriori formalità, gli enti che hanno stipulato con l'Editore un contratto per l'acquisto di </w:t>
      </w:r>
      <w:r>
        <w:rPr>
          <w:b/>
          <w:i w:val="0"/>
        </w:rPr>
        <w:t>almeno 100 abbonamenti annuali</w:t>
      </w:r>
      <w:r>
        <w:rPr>
          <w:b w:val="0"/>
          <w:i w:val="0"/>
        </w:rPr>
        <w:t xml:space="preserve"> alla testata (di seguito «enti membri»). Il contratto ha durata triennale, con impegno dell'ente ad acquistare ogni anno almeno lo stesso numero di abbonamenti, e si rinnova poi tacitamente di anno in anno. L'ingresso decorre dalla firma del contratto.</w:t>
      </w:r>
    </w:p>
    <w:p>
      <w:pPr>
        <w:jc w:val="both"/>
      </w:pPr>
      <w:r>
        <w:rPr>
          <w:b w:val="0"/>
          <w:i w:val="0"/>
        </w:rPr>
        <w:t>2. Un ente può raggiungere la soglia anche acquistando abbonamenti destinati ad altri enti della propria rete; in questo caso è membro del Comitato soltanto l'ente che firma il contratto e paga il corrispettivo, salvo quanto previsto al comma 4.</w:t>
      </w:r>
    </w:p>
    <w:p>
      <w:pPr>
        <w:jc w:val="both"/>
      </w:pPr>
      <w:r>
        <w:rPr>
          <w:b w:val="0"/>
          <w:i w:val="0"/>
        </w:rPr>
        <w:t>3. Partecipano inoltre al Comitato, senza diritto di voto, il legale rappresentante dell'Editore o un suo delegato e il direttore responsabile, che ne coordina i lavori.</w:t>
      </w:r>
    </w:p>
    <w:p>
      <w:pPr>
        <w:jc w:val="both"/>
      </w:pPr>
      <w:r>
        <w:rPr>
          <w:b w:val="0"/>
          <w:i w:val="0"/>
        </w:rPr>
        <w:t>4. Su proposta del direttore responsabile, il Comitato può invitare a partecipare alle riunioni, come uditori, enti della rete degli enti membri, esperti, giornalisti e rappresentanti delle istituzioni.</w:t>
      </w:r>
    </w:p>
    <w:p>
      <w:pPr>
        <w:jc w:val="both"/>
      </w:pPr>
      <w:r>
        <w:rPr>
          <w:b w:val="0"/>
          <w:i w:val="0"/>
        </w:rPr>
        <w:t>5. L'elenco degli enti membri è pubblicato nella pagina «Comitato editoriale» del mensile e del sito www.ilvortice.eu.</w:t>
      </w:r>
    </w:p>
    <w:p>
      <w:pPr>
        <w:pStyle w:val="Heading3"/>
      </w:pPr>
      <w:r>
        <w:t>Art. 4 – Rappresentanti</w:t>
      </w:r>
    </w:p>
    <w:p>
      <w:pPr>
        <w:jc w:val="both"/>
      </w:pPr>
      <w:r>
        <w:rPr>
          <w:b w:val="0"/>
          <w:i w:val="0"/>
        </w:rPr>
        <w:t>1. Ogni ente membro designa, con il modulo M2, un rappresentante effettivo e un supplente. La designazione può essere cambiata in ogni momento con comunicazione scritta.</w:t>
      </w:r>
    </w:p>
    <w:p>
      <w:pPr>
        <w:jc w:val="both"/>
      </w:pPr>
      <w:r>
        <w:rPr>
          <w:b w:val="0"/>
          <w:i w:val="0"/>
        </w:rPr>
        <w:t>2. La partecipazione al Comitato è gratuita: ai rappresentanti non spetta alcun compenso o rimborso da parte dell'Editore.</w:t>
      </w:r>
    </w:p>
    <w:p>
      <w:pPr>
        <w:pStyle w:val="Heading3"/>
      </w:pPr>
      <w:r>
        <w:t>Art. 5 – Riunioni</w:t>
      </w:r>
    </w:p>
    <w:p>
      <w:pPr>
        <w:jc w:val="both"/>
      </w:pPr>
      <w:r>
        <w:rPr>
          <w:b w:val="0"/>
          <w:i w:val="0"/>
        </w:rPr>
        <w:t>1. Il Comitato si riunisce almeno due volte l'anno: entro marzo, per il piano editoriale annuale, ed entro ottobre, per il bilancio delle attività. Può essere convocato anche su richiesta di almeno un terzo degli enti membri.</w:t>
      </w:r>
    </w:p>
    <w:p>
      <w:pPr>
        <w:jc w:val="both"/>
      </w:pPr>
      <w:r>
        <w:rPr>
          <w:b w:val="0"/>
          <w:i w:val="0"/>
        </w:rPr>
        <w:t>2. La convocazione è inviata dal direttore responsabile per e-mail o PEC almeno 10 giorni prima, con l'ordine del giorno. Le riunioni possono svolgersi anche in videoconferenza, con strumenti accessibili alle persone con disabilità.</w:t>
      </w:r>
    </w:p>
    <w:p>
      <w:pPr>
        <w:jc w:val="both"/>
      </w:pPr>
      <w:r>
        <w:rPr>
          <w:b w:val="0"/>
          <w:i w:val="0"/>
        </w:rPr>
        <w:t>3. Il Comitato esprime i pareri a maggioranza dei rappresentanti presenti; ogni ente membro ha un voto. Di ogni riunione è redatto un verbale, conservato dall'Editore e trasmesso agli enti membri.</w:t>
      </w:r>
    </w:p>
    <w:p>
      <w:pPr>
        <w:pStyle w:val="Heading3"/>
      </w:pPr>
      <w:r>
        <w:t>Art. 6 – Agevolazioni per gli enti membri</w:t>
      </w:r>
    </w:p>
    <w:p>
      <w:pPr>
        <w:jc w:val="both"/>
      </w:pPr>
      <w:r>
        <w:rPr>
          <w:b w:val="0"/>
          <w:i w:val="0"/>
        </w:rPr>
        <w:t>1. Agli enti membri spettano le agevolazioni indicate nel listino approvato dall'Editore (Allegato 2), secondo la fascia di abbonamenti acquistati: prezzo unitario ridotto, pagine dedicate nel mensile, pubblicazioni sui canali social del Vortice, visibilità del logo e partecipazione agli eventi.</w:t>
      </w:r>
    </w:p>
    <w:p>
      <w:pPr>
        <w:jc w:val="both"/>
      </w:pPr>
      <w:r>
        <w:rPr>
          <w:b w:val="0"/>
          <w:i w:val="0"/>
        </w:rPr>
        <w:t>2. La fascia si determina sul numero di abbonamenti acquistati con un unico contratto. Gli abbonamenti aggiunti in corso d'anno godono della stessa tariffa e, se fanno superare la soglia della fascia successiva, danno diritto alle relative agevolazioni dal mese seguente.</w:t>
      </w:r>
    </w:p>
    <w:p>
      <w:pPr>
        <w:jc w:val="both"/>
      </w:pPr>
      <w:r>
        <w:rPr>
          <w:b w:val="0"/>
          <w:i w:val="0"/>
        </w:rPr>
        <w:t>3. Le agevolazioni non usate in un'annualità non si sommano all'annualità successiva e non sono convertibili in denaro.</w:t>
      </w:r>
    </w:p>
    <w:p>
      <w:pPr>
        <w:pStyle w:val="Heading3"/>
      </w:pPr>
      <w:r>
        <w:t>Art. 7 – Pagine dedicate e contenuti per i social</w:t>
      </w:r>
    </w:p>
    <w:p>
      <w:pPr>
        <w:jc w:val="both"/>
      </w:pPr>
      <w:r>
        <w:rPr>
          <w:b w:val="0"/>
          <w:i w:val="0"/>
        </w:rPr>
        <w:t>1. Le pagine dedicate sono pubblicate con la dicitura «Spazio a cura di [nome dell'ente]», in modo da distinguerle dai contenuti giornalistici della redazione.</w:t>
      </w:r>
    </w:p>
    <w:p>
      <w:pPr>
        <w:jc w:val="both"/>
      </w:pPr>
      <w:r>
        <w:rPr>
          <w:b w:val="0"/>
          <w:i w:val="0"/>
        </w:rPr>
        <w:t>2. L'ente membro invia testi, immagini e video con il modulo M4 almeno 20 giorni prima dell'uscita del numero (7 giorni per i social), garantendo di avere tutti i diritti d'uso e i consensi delle persone ritratte, in particolare se minorenni.</w:t>
      </w:r>
    </w:p>
    <w:p>
      <w:pPr>
        <w:jc w:val="both"/>
      </w:pPr>
      <w:r>
        <w:rPr>
          <w:b w:val="0"/>
          <w:i w:val="0"/>
        </w:rPr>
        <w:t>3. Il direttore responsabile può chiedere modifiche, rinviare o non pubblicare contenuti contrari alla legge, alla deontologia giornalistica (Testo unico dei doveri del giornalista), alla linea editoriale o alla Carta dei valori della testata, motivando la decisione.</w:t>
      </w:r>
    </w:p>
    <w:p>
      <w:pPr>
        <w:jc w:val="both"/>
      </w:pPr>
      <w:r>
        <w:rPr>
          <w:b w:val="0"/>
          <w:i w:val="0"/>
        </w:rPr>
        <w:t>4. I contenuti sono pubblicati in formato accessibile: testi alternativi per le immagini, sottotitoli per i video, versione audio quando prevista.</w:t>
      </w:r>
    </w:p>
    <w:p>
      <w:pPr>
        <w:pStyle w:val="Heading3"/>
      </w:pPr>
      <w:r>
        <w:t>Art. 8 – Obblighi degli enti membri</w:t>
      </w:r>
    </w:p>
    <w:p>
      <w:pPr>
        <w:jc w:val="both"/>
      </w:pPr>
      <w:r>
        <w:rPr>
          <w:b w:val="0"/>
          <w:i w:val="0"/>
        </w:rPr>
        <w:t>Gli enti membri si impegnano a: a) rispettare il presente Regolamento e la missione della testata; b) comunicare tempestivamente le variazioni degli elenchi degli abbonati (modulo M3); c) usare il nome e il logo de «Il Vortice» solo per promuovere la testata e le attività del Comitato; d) trattare i dati personali degli abbonati nel rispetto del Regolamento UE 2016/679.</w:t>
      </w:r>
    </w:p>
    <w:p>
      <w:pPr>
        <w:pStyle w:val="Heading3"/>
      </w:pPr>
      <w:r>
        <w:t>Art. 9 – Cessazione</w:t>
      </w:r>
    </w:p>
    <w:p>
      <w:pPr>
        <w:jc w:val="both"/>
      </w:pPr>
      <w:r>
        <w:rPr>
          <w:b w:val="0"/>
          <w:i w:val="0"/>
        </w:rPr>
        <w:t>La qualità di ente membro cessa: a) alla scadenza del contratto non rinnovato; b) se gli abbonamenti scendono sotto la soglia di 100; c) per recesso, con comunicazione scritta; d) per esclusione decisa dall'Editore, sentito il Comitato, in caso di gravi violazioni del Regolamento o di mancato pagamento del corrispettivo oltre 60 giorni dalla scadenza.</w:t>
      </w:r>
    </w:p>
    <w:p>
      <w:pPr>
        <w:pStyle w:val="Heading3"/>
      </w:pPr>
      <w:r>
        <w:t>Art. 10 – Modifiche e norme finali</w:t>
      </w:r>
    </w:p>
    <w:p>
      <w:pPr>
        <w:jc w:val="both"/>
      </w:pPr>
      <w:r>
        <w:rPr>
          <w:b w:val="0"/>
          <w:i w:val="0"/>
        </w:rPr>
        <w:t>1. Il Regolamento è modificato dall'Editore, sentito il Comitato. Le modifiche sono comunicate agli enti membri e si applicano dal mese successivo.</w:t>
      </w:r>
    </w:p>
    <w:p>
      <w:pPr>
        <w:jc w:val="both"/>
      </w:pPr>
      <w:r>
        <w:rPr>
          <w:b w:val="0"/>
          <w:i w:val="0"/>
        </w:rPr>
        <w:t>2. Per quanto non previsto si rinvia ai contratti stipulati con i singoli enti e alle norme di legge.</w:t>
      </w:r>
    </w:p>
    <w:p>
      <w:r>
        <w:br w:type="page"/>
      </w:r>
    </w:p>
    <w:p>
      <w:pPr>
        <w:pStyle w:val="Heading2"/>
      </w:pPr>
      <w:r>
        <w:t>Allegato 2 – Listino abbonamenti e agevolazioni (dal numero di novembre 2026)</w:t>
      </w:r>
    </w:p>
    <w:p>
      <w:pPr>
        <w:jc w:val="both"/>
      </w:pPr>
      <w:r>
        <w:rPr>
          <w:b w:val="0"/>
          <w:i w:val="0"/>
        </w:rPr>
        <w:t xml:space="preserve">Abbonamento annuale ordinario (12 numeri del mensile in formato digitale accessibile, con versione audio e contenuti V-Cult): </w:t>
      </w:r>
      <w:r>
        <w:rPr>
          <w:b/>
          <w:i w:val="0"/>
        </w:rPr>
        <w:t>25 €</w:t>
      </w:r>
      <w:r>
        <w:rPr>
          <w:b w:val="0"/>
          <w:i w:val="0"/>
        </w:rPr>
        <w:t>. Tariffe e agevolazioni riservate agli enti del Comitato editoriale: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3515"/>
            <w:shd w:val="clear" w:fill="B68235"/>
          </w:tcPr>
          <w:p>
            <w:r/>
            <w:r>
              <w:rPr>
                <w:b/>
                <w:color w:val="FFFFFF"/>
                <w:sz w:val="21"/>
              </w:rPr>
              <w:t>Agevolazione</w:t>
            </w:r>
          </w:p>
        </w:tc>
        <w:tc>
          <w:tcPr>
            <w:tcW w:type="dxa" w:w="1871"/>
            <w:shd w:val="clear" w:fill="B68235"/>
          </w:tcPr>
          <w:p>
            <w:r/>
            <w:r>
              <w:rPr>
                <w:b/>
                <w:color w:val="FFFFFF"/>
                <w:sz w:val="21"/>
              </w:rPr>
              <w:t>100–499 abbonamenti</w:t>
            </w:r>
          </w:p>
        </w:tc>
        <w:tc>
          <w:tcPr>
            <w:tcW w:type="dxa" w:w="1871"/>
            <w:shd w:val="clear" w:fill="B68235"/>
          </w:tcPr>
          <w:p>
            <w:r/>
            <w:r>
              <w:rPr>
                <w:b/>
                <w:color w:val="FFFFFF"/>
                <w:sz w:val="21"/>
              </w:rPr>
              <w:t>500–1.000 abbonamenti</w:t>
            </w:r>
          </w:p>
        </w:tc>
        <w:tc>
          <w:tcPr>
            <w:tcW w:type="dxa" w:w="2041"/>
            <w:shd w:val="clear" w:fill="B68235"/>
          </w:tcPr>
          <w:p>
            <w:r/>
            <w:r>
              <w:rPr>
                <w:b/>
                <w:color w:val="FFFFFF"/>
                <w:sz w:val="21"/>
              </w:rPr>
              <w:t>Oltre 1.000 abbonamenti</w:t>
            </w:r>
          </w:p>
        </w:tc>
      </w:tr>
      <w:tr>
        <w:tc>
          <w:tcPr>
            <w:tcW w:type="dxa" w:w="3515"/>
          </w:tcPr>
          <w:p>
            <w:r>
              <w:rPr>
                <w:sz w:val="21"/>
              </w:rPr>
            </w:r>
            <w:r>
              <w:rPr>
                <w:b w:val="0"/>
                <w:i w:val="0"/>
                <w:sz w:val="21"/>
              </w:rPr>
              <w:t>Prezzo unitario annuo dell'abbonamento (listino ordinario 25 €)</w:t>
            </w:r>
          </w:p>
        </w:tc>
        <w:tc>
          <w:tcPr>
            <w:tcW w:type="dxa" w:w="1871"/>
          </w:tcPr>
          <w:p>
            <w:r>
              <w:rPr>
                <w:sz w:val="21"/>
              </w:rPr>
            </w:r>
            <w:r>
              <w:rPr>
                <w:b w:val="0"/>
                <w:i w:val="0"/>
                <w:sz w:val="21"/>
              </w:rPr>
              <w:t>20 €</w:t>
            </w:r>
          </w:p>
        </w:tc>
        <w:tc>
          <w:tcPr>
            <w:tcW w:type="dxa" w:w="1871"/>
          </w:tcPr>
          <w:p>
            <w:r>
              <w:rPr>
                <w:sz w:val="21"/>
              </w:rPr>
            </w:r>
            <w:r>
              <w:rPr>
                <w:b w:val="0"/>
                <w:i w:val="0"/>
                <w:sz w:val="21"/>
              </w:rPr>
              <w:t>18 €</w:t>
            </w:r>
          </w:p>
        </w:tc>
        <w:tc>
          <w:tcPr>
            <w:tcW w:type="dxa" w:w="2041"/>
          </w:tcPr>
          <w:p>
            <w:r>
              <w:rPr>
                <w:sz w:val="21"/>
              </w:rPr>
            </w:r>
            <w:r>
              <w:rPr>
                <w:b w:val="0"/>
                <w:i w:val="0"/>
                <w:sz w:val="21"/>
              </w:rPr>
              <w:t>15 €</w:t>
            </w:r>
          </w:p>
        </w:tc>
      </w:tr>
      <w:tr>
        <w:tc>
          <w:tcPr>
            <w:tcW w:type="dxa" w:w="3515"/>
          </w:tcPr>
          <w:p>
            <w:r>
              <w:rPr>
                <w:sz w:val="21"/>
              </w:rPr>
            </w:r>
            <w:r>
              <w:rPr>
                <w:b w:val="0"/>
                <w:i w:val="0"/>
                <w:sz w:val="21"/>
              </w:rPr>
              <w:t>Ingresso nel Comitato editoriale con un rappresentante</w:t>
            </w:r>
          </w:p>
        </w:tc>
        <w:tc>
          <w:tcPr>
            <w:tcW w:type="dxa" w:w="1871"/>
          </w:tcPr>
          <w:p>
            <w:r>
              <w:rPr>
                <w:sz w:val="21"/>
              </w:rPr>
            </w:r>
            <w:r>
              <w:rPr>
                <w:b w:val="0"/>
                <w:i w:val="0"/>
                <w:sz w:val="21"/>
              </w:rPr>
              <w:t>sì</w:t>
            </w:r>
          </w:p>
        </w:tc>
        <w:tc>
          <w:tcPr>
            <w:tcW w:type="dxa" w:w="1871"/>
          </w:tcPr>
          <w:p>
            <w:r>
              <w:rPr>
                <w:sz w:val="21"/>
              </w:rPr>
            </w:r>
            <w:r>
              <w:rPr>
                <w:b w:val="0"/>
                <w:i w:val="0"/>
                <w:sz w:val="21"/>
              </w:rPr>
              <w:t>sì</w:t>
            </w:r>
          </w:p>
        </w:tc>
        <w:tc>
          <w:tcPr>
            <w:tcW w:type="dxa" w:w="2041"/>
          </w:tcPr>
          <w:p>
            <w:r>
              <w:rPr>
                <w:sz w:val="21"/>
              </w:rPr>
            </w:r>
            <w:r>
              <w:rPr>
                <w:b w:val="0"/>
                <w:i w:val="0"/>
                <w:sz w:val="21"/>
              </w:rPr>
              <w:t>sì</w:t>
            </w:r>
          </w:p>
        </w:tc>
      </w:tr>
      <w:tr>
        <w:tc>
          <w:tcPr>
            <w:tcW w:type="dxa" w:w="3515"/>
          </w:tcPr>
          <w:p>
            <w:r>
              <w:rPr>
                <w:sz w:val="21"/>
              </w:rPr>
            </w:r>
            <w:r>
              <w:rPr>
                <w:b w:val="0"/>
                <w:i w:val="0"/>
                <w:sz w:val="21"/>
              </w:rPr>
              <w:t>Logo e nome dell'ente nella pagina «Comitato editoriale» del mensile e del sito</w:t>
            </w:r>
          </w:p>
        </w:tc>
        <w:tc>
          <w:tcPr>
            <w:tcW w:type="dxa" w:w="1871"/>
          </w:tcPr>
          <w:p>
            <w:r>
              <w:rPr>
                <w:sz w:val="21"/>
              </w:rPr>
            </w:r>
            <w:r>
              <w:rPr>
                <w:b w:val="0"/>
                <w:i w:val="0"/>
                <w:sz w:val="21"/>
              </w:rPr>
              <w:t>sì</w:t>
            </w:r>
          </w:p>
        </w:tc>
        <w:tc>
          <w:tcPr>
            <w:tcW w:type="dxa" w:w="1871"/>
          </w:tcPr>
          <w:p>
            <w:r>
              <w:rPr>
                <w:sz w:val="21"/>
              </w:rPr>
            </w:r>
            <w:r>
              <w:rPr>
                <w:b w:val="0"/>
                <w:i w:val="0"/>
                <w:sz w:val="21"/>
              </w:rPr>
              <w:t>sì</w:t>
            </w:r>
          </w:p>
        </w:tc>
        <w:tc>
          <w:tcPr>
            <w:tcW w:type="dxa" w:w="2041"/>
          </w:tcPr>
          <w:p>
            <w:r>
              <w:rPr>
                <w:sz w:val="21"/>
              </w:rPr>
            </w:r>
            <w:r>
              <w:rPr>
                <w:b w:val="0"/>
                <w:i w:val="0"/>
                <w:sz w:val="21"/>
              </w:rPr>
              <w:t>sì</w:t>
            </w:r>
          </w:p>
        </w:tc>
      </w:tr>
      <w:tr>
        <w:tc>
          <w:tcPr>
            <w:tcW w:type="dxa" w:w="3515"/>
          </w:tcPr>
          <w:p>
            <w:r>
              <w:rPr>
                <w:sz w:val="21"/>
              </w:rPr>
            </w:r>
            <w:r>
              <w:rPr>
                <w:b w:val="0"/>
                <w:i w:val="0"/>
                <w:sz w:val="21"/>
              </w:rPr>
              <w:t>Pagine dedicate nel mensile («Spazio a cura di …»)</w:t>
            </w:r>
          </w:p>
        </w:tc>
        <w:tc>
          <w:tcPr>
            <w:tcW w:type="dxa" w:w="1871"/>
          </w:tcPr>
          <w:p>
            <w:r>
              <w:rPr>
                <w:sz w:val="21"/>
              </w:rPr>
            </w:r>
            <w:r>
              <w:rPr>
                <w:b w:val="0"/>
                <w:i w:val="0"/>
                <w:sz w:val="21"/>
              </w:rPr>
              <w:t>1 pagina l'anno</w:t>
            </w:r>
          </w:p>
        </w:tc>
        <w:tc>
          <w:tcPr>
            <w:tcW w:type="dxa" w:w="1871"/>
          </w:tcPr>
          <w:p>
            <w:r>
              <w:rPr>
                <w:sz w:val="21"/>
              </w:rPr>
            </w:r>
            <w:r>
              <w:rPr>
                <w:b w:val="0"/>
                <w:i w:val="0"/>
                <w:sz w:val="21"/>
              </w:rPr>
              <w:t>1 pagina a trimestre (4 l'anno)</w:t>
            </w:r>
          </w:p>
        </w:tc>
        <w:tc>
          <w:tcPr>
            <w:tcW w:type="dxa" w:w="2041"/>
          </w:tcPr>
          <w:p>
            <w:r>
              <w:rPr>
                <w:sz w:val="21"/>
              </w:rPr>
            </w:r>
            <w:r>
              <w:rPr>
                <w:b w:val="0"/>
                <w:i w:val="0"/>
                <w:sz w:val="21"/>
              </w:rPr>
              <w:t>1 pagina in ogni numero</w:t>
            </w:r>
          </w:p>
        </w:tc>
      </w:tr>
      <w:tr>
        <w:tc>
          <w:tcPr>
            <w:tcW w:type="dxa" w:w="3515"/>
          </w:tcPr>
          <w:p>
            <w:r>
              <w:rPr>
                <w:sz w:val="21"/>
              </w:rPr>
            </w:r>
            <w:r>
              <w:rPr>
                <w:b w:val="0"/>
                <w:i w:val="0"/>
                <w:sz w:val="21"/>
              </w:rPr>
              <w:t>Pubblicazioni sui canali social del Vortice</w:t>
            </w:r>
          </w:p>
        </w:tc>
        <w:tc>
          <w:tcPr>
            <w:tcW w:type="dxa" w:w="1871"/>
          </w:tcPr>
          <w:p>
            <w:r>
              <w:rPr>
                <w:sz w:val="21"/>
              </w:rPr>
            </w:r>
            <w:r>
              <w:rPr>
                <w:b w:val="0"/>
                <w:i w:val="0"/>
                <w:sz w:val="21"/>
              </w:rPr>
              <w:t>1 post al mese</w:t>
            </w:r>
          </w:p>
        </w:tc>
        <w:tc>
          <w:tcPr>
            <w:tcW w:type="dxa" w:w="1871"/>
          </w:tcPr>
          <w:p>
            <w:r>
              <w:rPr>
                <w:sz w:val="21"/>
              </w:rPr>
            </w:r>
            <w:r>
              <w:rPr>
                <w:b w:val="0"/>
                <w:i w:val="0"/>
                <w:sz w:val="21"/>
              </w:rPr>
              <w:t>2 post al mese</w:t>
            </w:r>
          </w:p>
        </w:tc>
        <w:tc>
          <w:tcPr>
            <w:tcW w:type="dxa" w:w="2041"/>
          </w:tcPr>
          <w:p>
            <w:r>
              <w:rPr>
                <w:sz w:val="21"/>
              </w:rPr>
            </w:r>
            <w:r>
              <w:rPr>
                <w:b w:val="0"/>
                <w:i w:val="0"/>
                <w:sz w:val="21"/>
              </w:rPr>
              <w:t>4 post al mese + 1 video V-Cult l'anno</w:t>
            </w:r>
          </w:p>
        </w:tc>
      </w:tr>
      <w:tr>
        <w:tc>
          <w:tcPr>
            <w:tcW w:type="dxa" w:w="3515"/>
          </w:tcPr>
          <w:p>
            <w:r>
              <w:rPr>
                <w:sz w:val="21"/>
              </w:rPr>
            </w:r>
            <w:r>
              <w:rPr>
                <w:b w:val="0"/>
                <w:i w:val="0"/>
                <w:sz w:val="21"/>
              </w:rPr>
              <w:t>Segnalazione di eventi e iniziative nella rubrica «Eventi»</w:t>
            </w:r>
          </w:p>
        </w:tc>
        <w:tc>
          <w:tcPr>
            <w:tcW w:type="dxa" w:w="1871"/>
          </w:tcPr>
          <w:p>
            <w:r>
              <w:rPr>
                <w:sz w:val="21"/>
              </w:rPr>
            </w:r>
            <w:r>
              <w:rPr>
                <w:b w:val="0"/>
                <w:i w:val="0"/>
                <w:sz w:val="21"/>
              </w:rPr>
              <w:t>sì</w:t>
            </w:r>
          </w:p>
        </w:tc>
        <w:tc>
          <w:tcPr>
            <w:tcW w:type="dxa" w:w="1871"/>
          </w:tcPr>
          <w:p>
            <w:r>
              <w:rPr>
                <w:sz w:val="21"/>
              </w:rPr>
            </w:r>
            <w:r>
              <w:rPr>
                <w:b w:val="0"/>
                <w:i w:val="0"/>
                <w:sz w:val="21"/>
              </w:rPr>
              <w:t>sì</w:t>
            </w:r>
          </w:p>
        </w:tc>
        <w:tc>
          <w:tcPr>
            <w:tcW w:type="dxa" w:w="2041"/>
          </w:tcPr>
          <w:p>
            <w:r>
              <w:rPr>
                <w:sz w:val="21"/>
              </w:rPr>
            </w:r>
            <w:r>
              <w:rPr>
                <w:b w:val="0"/>
                <w:i w:val="0"/>
                <w:sz w:val="21"/>
              </w:rPr>
              <w:t>sì, con priorità</w:t>
            </w:r>
          </w:p>
        </w:tc>
      </w:tr>
      <w:tr>
        <w:tc>
          <w:tcPr>
            <w:tcW w:type="dxa" w:w="3515"/>
          </w:tcPr>
          <w:p>
            <w:r>
              <w:rPr>
                <w:sz w:val="21"/>
              </w:rPr>
            </w:r>
            <w:r>
              <w:rPr>
                <w:b w:val="0"/>
                <w:i w:val="0"/>
                <w:sz w:val="21"/>
              </w:rPr>
              <w:t>Sconto sugli abbonamenti aggiuntivi in corso d'anno</w:t>
            </w:r>
          </w:p>
        </w:tc>
        <w:tc>
          <w:tcPr>
            <w:tcW w:type="dxa" w:w="1871"/>
          </w:tcPr>
          <w:p>
            <w:r>
              <w:rPr>
                <w:sz w:val="21"/>
              </w:rPr>
            </w:r>
            <w:r>
              <w:rPr>
                <w:b w:val="0"/>
                <w:i w:val="0"/>
                <w:sz w:val="21"/>
              </w:rPr>
              <w:t>stessa tariffa</w:t>
            </w:r>
          </w:p>
        </w:tc>
        <w:tc>
          <w:tcPr>
            <w:tcW w:type="dxa" w:w="1871"/>
          </w:tcPr>
          <w:p>
            <w:r>
              <w:rPr>
                <w:sz w:val="21"/>
              </w:rPr>
            </w:r>
            <w:r>
              <w:rPr>
                <w:b w:val="0"/>
                <w:i w:val="0"/>
                <w:sz w:val="21"/>
              </w:rPr>
              <w:t>stessa tariffa</w:t>
            </w:r>
          </w:p>
        </w:tc>
        <w:tc>
          <w:tcPr>
            <w:tcW w:type="dxa" w:w="2041"/>
          </w:tcPr>
          <w:p>
            <w:r>
              <w:rPr>
                <w:sz w:val="21"/>
              </w:rPr>
            </w:r>
            <w:r>
              <w:rPr>
                <w:b w:val="0"/>
                <w:i w:val="0"/>
                <w:sz w:val="21"/>
              </w:rPr>
              <w:t>stessa tariffa</w:t>
            </w:r>
          </w:p>
        </w:tc>
      </w:tr>
      <w:tr>
        <w:tc>
          <w:tcPr>
            <w:tcW w:type="dxa" w:w="3515"/>
          </w:tcPr>
          <w:p>
            <w:r>
              <w:rPr>
                <w:sz w:val="21"/>
              </w:rPr>
            </w:r>
            <w:r>
              <w:rPr>
                <w:b w:val="0"/>
                <w:i w:val="0"/>
                <w:sz w:val="21"/>
              </w:rPr>
              <w:t>Partecipazione agli eventi e agli incontri annuali del Comitato</w:t>
            </w:r>
          </w:p>
        </w:tc>
        <w:tc>
          <w:tcPr>
            <w:tcW w:type="dxa" w:w="1871"/>
          </w:tcPr>
          <w:p>
            <w:r>
              <w:rPr>
                <w:sz w:val="21"/>
              </w:rPr>
            </w:r>
            <w:r>
              <w:rPr>
                <w:b w:val="0"/>
                <w:i w:val="0"/>
                <w:sz w:val="21"/>
              </w:rPr>
              <w:t>sì</w:t>
            </w:r>
          </w:p>
        </w:tc>
        <w:tc>
          <w:tcPr>
            <w:tcW w:type="dxa" w:w="1871"/>
          </w:tcPr>
          <w:p>
            <w:r>
              <w:rPr>
                <w:sz w:val="21"/>
              </w:rPr>
            </w:r>
            <w:r>
              <w:rPr>
                <w:b w:val="0"/>
                <w:i w:val="0"/>
                <w:sz w:val="21"/>
              </w:rPr>
              <w:t>sì</w:t>
            </w:r>
          </w:p>
        </w:tc>
        <w:tc>
          <w:tcPr>
            <w:tcW w:type="dxa" w:w="2041"/>
          </w:tcPr>
          <w:p>
            <w:r>
              <w:rPr>
                <w:sz w:val="21"/>
              </w:rPr>
            </w:r>
            <w:r>
              <w:rPr>
                <w:b w:val="0"/>
                <w:i w:val="0"/>
                <w:sz w:val="21"/>
              </w:rPr>
              <w:t>sì</w:t>
            </w:r>
          </w:p>
        </w:tc>
      </w:tr>
      <w:tr>
        <w:tc>
          <w:tcPr>
            <w:tcW w:type="dxa" w:w="3515"/>
          </w:tcPr>
          <w:p>
            <w:r>
              <w:rPr>
                <w:sz w:val="21"/>
              </w:rPr>
            </w:r>
            <w:r>
              <w:rPr>
                <w:b w:val="0"/>
                <w:i w:val="0"/>
                <w:sz w:val="21"/>
              </w:rPr>
              <w:t>Abbonamenti «sospesi» da donare ad altri enti o a persone in difficoltà</w:t>
            </w:r>
          </w:p>
        </w:tc>
        <w:tc>
          <w:tcPr>
            <w:tcW w:type="dxa" w:w="1871"/>
          </w:tcPr>
          <w:p>
            <w:r>
              <w:rPr>
                <w:sz w:val="21"/>
              </w:rPr>
            </w:r>
            <w:r>
              <w:rPr>
                <w:b w:val="0"/>
                <w:i w:val="0"/>
                <w:sz w:val="21"/>
              </w:rPr>
              <w:t>facoltativi</w:t>
            </w:r>
          </w:p>
        </w:tc>
        <w:tc>
          <w:tcPr>
            <w:tcW w:type="dxa" w:w="1871"/>
          </w:tcPr>
          <w:p>
            <w:r>
              <w:rPr>
                <w:sz w:val="21"/>
              </w:rPr>
            </w:r>
            <w:r>
              <w:rPr>
                <w:b w:val="0"/>
                <w:i w:val="0"/>
                <w:sz w:val="21"/>
              </w:rPr>
              <w:t>facoltativi</w:t>
            </w:r>
          </w:p>
        </w:tc>
        <w:tc>
          <w:tcPr>
            <w:tcW w:type="dxa" w:w="2041"/>
          </w:tcPr>
          <w:p>
            <w:r>
              <w:rPr>
                <w:sz w:val="21"/>
              </w:rPr>
            </w:r>
            <w:r>
              <w:rPr>
                <w:b w:val="0"/>
                <w:i w:val="0"/>
                <w:sz w:val="21"/>
              </w:rPr>
              <w:t>facoltativi</w:t>
            </w:r>
          </w:p>
        </w:tc>
      </w:tr>
    </w:tbl>
    <w:p/>
    <w:p>
      <w:pPr>
        <w:jc w:val="both"/>
      </w:pPr>
      <w:r>
        <w:rPr>
          <w:b w:val="0"/>
          <w:i/>
          <w:sz w:val="21"/>
        </w:rPr>
        <w:t>I prezzi si intendono comprensivi dell'IVA, assolta dall'Editore secondo il regime speciale dei prodotti editoriali (art. 74 D.P.R. 633/1972). Il regime fiscale va confermato dal commercialista.</w:t>
      </w:r>
    </w:p>
    <w:sectPr w:rsidR="00FC693F" w:rsidRPr="0006063C" w:rsidSect="00034616">
      <w:headerReference w:type="default" r:id="rId9"/>
      <w:footerReference w:type="default" r:id="rId10"/>
      <w:pgSz w:w="11906" w:h="16838"/>
      <w:pgMar w:top="2268" w:right="1418" w:bottom="1418" w:left="1418" w:header="794" w:footer="5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6132A14C" w14:textId="77777777" w:rsidR="00300245" w:rsidRDefault="000E441B">
    <w:pPr>
      <w:pBdr>
        <w:top w:val="single" w:sz="4" w:space="6" w:color="B68235"/>
      </w:pBdr>
      <w:spacing w:after="0" w:line="240" w:lineRule="auto"/>
      <w:jc w:val="center"/>
      <w:rPr>
        <w:rFonts w:ascii="Cormorant Garamond" w:hAnsi="Cormorant Garamond" w:cs="Cormorant Garamond"/>
        <w:caps/>
        <w:color w:val="605D5D"/>
        <w:spacing w:val="22"/>
        <w:sz w:val="12"/>
        <w:szCs w:val="12"/>
      </w:rPr>
    </w:pPr>
    <w:r>
      <w:rPr>
        <w:rFonts w:ascii="Cormorant Garamond" w:hAnsi="Cormorant Garamond" w:cs="Cormorant Garamond"/>
        <w:caps/>
        <w:color w:val="605D5D"/>
        <w:spacing w:val="22"/>
        <w:sz w:val="12"/>
        <w:szCs w:val="12"/>
      </w:rPr>
      <w:t>vIA aDRIANO AUROFINO, 25 – 84127 sALERNO (SA)</w:t>
    </w:r>
  </w:p>
  <w:p w14:paraId="6E62D9EA" w14:textId="77777777" w:rsidR="000E441B" w:rsidRPr="000E441B" w:rsidRDefault="000E441B">
    <w:pPr>
      <w:pBdr>
        <w:top w:val="single" w:sz="4" w:space="6" w:color="B68235"/>
      </w:pBdr>
      <w:spacing w:after="0" w:line="240" w:lineRule="auto"/>
      <w:jc w:val="center"/>
      <w:rPr>
        <w:lang w:val="fr-FR"/>
      </w:rPr>
    </w:pPr>
    <w:r w:rsidRPr="000E441B">
      <w:rPr>
        <w:rFonts w:ascii="Cormorant Garamond" w:hAnsi="Cormorant Garamond" w:cs="Cormorant Garamond"/>
        <w:caps/>
        <w:color w:val="605D5D"/>
        <w:spacing w:val="22"/>
        <w:sz w:val="12"/>
        <w:szCs w:val="12"/>
        <w:lang w:val="fr-FR"/>
      </w:rPr>
      <w:t>cf/p</w:t>
    </w:r>
    <w:r>
      <w:rPr>
        <w:rFonts w:ascii="Cormorant Garamond" w:hAnsi="Cormorant Garamond" w:cs="Cormorant Garamond"/>
        <w:caps/>
        <w:color w:val="605D5D"/>
        <w:spacing w:val="22"/>
        <w:sz w:val="12"/>
        <w:szCs w:val="12"/>
        <w:lang w:val="fr-FR"/>
      </w:rPr>
      <w:t xml:space="preserve">.iva 05819580654 - </w:t>
    </w:r>
    <w:r w:rsidRPr="000E441B">
      <w:rPr>
        <w:rFonts w:ascii="Cormorant Garamond" w:hAnsi="Cormorant Garamond" w:cs="Cormorant Garamond"/>
        <w:caps/>
        <w:color w:val="605D5D"/>
        <w:spacing w:val="22"/>
        <w:sz w:val="12"/>
        <w:szCs w:val="12"/>
        <w:lang w:val="fr-FR"/>
      </w:rPr>
      <w:t>tEL</w:t>
    </w:r>
    <w:proofErr w:type="gramStart"/>
    <w:r w:rsidRPr="000E441B">
      <w:rPr>
        <w:rFonts w:ascii="Cormorant Garamond" w:hAnsi="Cormorant Garamond" w:cs="Cormorant Garamond"/>
        <w:caps/>
        <w:color w:val="605D5D"/>
        <w:spacing w:val="22"/>
        <w:sz w:val="12"/>
        <w:szCs w:val="12"/>
        <w:lang w:val="fr-FR"/>
      </w:rPr>
      <w:t>.:</w:t>
    </w:r>
    <w:proofErr w:type="gramEnd"/>
    <w:r w:rsidRPr="000E441B">
      <w:rPr>
        <w:rFonts w:ascii="Cormorant Garamond" w:hAnsi="Cormorant Garamond" w:cs="Cormorant Garamond"/>
        <w:caps/>
        <w:color w:val="605D5D"/>
        <w:spacing w:val="22"/>
        <w:sz w:val="12"/>
        <w:szCs w:val="12"/>
        <w:lang w:val="fr-FR"/>
      </w:rPr>
      <w:t xml:space="preserve">089-724572 e-mAIL: MATRESSRL@GMAIL.COM </w:t>
    </w:r>
  </w:p>
  <w:p>
    <w:pPr>
      <w:spacing w:before="40"/>
      <w:jc w:val="center"/>
    </w:pPr>
    <w:r>
      <w:rPr>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w="9644" w:type="dxa"/>
      <w:tblInd w:w="-709" w:type="dxa"/>
      <w:tblBorders>
        <w:bottom w:val="single" w:sz="4" w:space="0" w:color="D6D3D3"/>
      </w:tblBorders>
      <w:tblCellMar>
        <w:left w:w="0" w:type="dxa"/>
        <w:bottom w:w="140" w:type="dxa"/>
        <w:right w:w="0" w:type="dxa"/>
      </w:tblCellMar>
      <w:tblLook w:val="04A0" w:firstRow="1" w:lastRow="0" w:firstColumn="1" w:lastColumn="0" w:noHBand="0" w:noVBand="1"/>
    </w:tblPr>
    <w:tblGrid>
      <w:gridCol w:w="142"/>
      <w:gridCol w:w="5902"/>
      <w:gridCol w:w="3600"/>
    </w:tblGrid>
    <w:tr w:rsidR="000E441B" w:rsidRPr="000E441B" w14:paraId="3FE13EA9" w14:textId="77777777" w:rsidTr="002C48D3">
      <w:trPr>
        <w:trHeight w:val="1500"/>
      </w:trPr>
      <w:tc>
        <w:tcPr>
          <w:tcW w:w="142" w:type="dxa"/>
          <w:vAlign w:val="center"/>
        </w:tcPr>
        <w:p w14:paraId="013E13F0" w14:textId="77777777" w:rsidR="000E441B" w:rsidRDefault="000E441B">
          <w:pPr>
            <w:spacing w:after="0"/>
          </w:pPr>
        </w:p>
      </w:tc>
      <w:tc>
        <w:tcPr>
          <w:tcW w:w="5902" w:type="dxa"/>
          <w:vAlign w:val="center"/>
        </w:tcPr>
        <w:p w14:paraId="458F7F61" w14:textId="77777777" w:rsidR="000E441B" w:rsidRDefault="002C48D3" w:rsidP="002C48D3">
          <w:pPr>
            <w:pStyle w:val="Paragrafoelenco"/>
            <w:numPr>
              <w:ilvl w:val="0"/>
              <w:numId w:val="1"/>
            </w:numPr>
            <w:pBdr>
              <w:bottom w:val="single" w:sz="4" w:space="2" w:color="B68235"/>
            </w:pBdr>
            <w:tabs>
              <w:tab w:val="clear" w:pos="720"/>
            </w:tabs>
            <w:spacing w:after="40" w:line="240" w:lineRule="auto"/>
            <w:ind w:left="3"/>
          </w:pPr>
          <w:r w:rsidRPr="00624294">
            <w:rPr>
              <w:noProof/>
            </w:rPr>
            <w:drawing>
              <wp:inline distT="0" distB="0" distL="0" distR="0" wp14:anchorId="3A972F5B" wp14:editId="55009225">
                <wp:extent cx="323850" cy="323850"/>
                <wp:effectExtent l="0" t="0" r="0" b="0"/>
                <wp:docPr id="75" name="Simbolo Ma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bolo Matr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r>
            <w:rPr>
              <w:noProof/>
            </w:rPr>
            <w:t xml:space="preserve"> </w:t>
          </w:r>
          <w:r w:rsidR="000E441B" w:rsidRPr="002C48D3">
            <w:rPr>
              <w:rFonts w:ascii="Cormorant Garamond" w:hAnsi="Cormorant Garamond" w:cs="Cormorant Garamond"/>
              <w:caps/>
              <w:spacing w:val="48"/>
              <w:sz w:val="40"/>
              <w:szCs w:val="40"/>
            </w:rPr>
            <w:t>MATRES</w:t>
          </w:r>
        </w:p>
        <w:p w14:paraId="2D1697FD" w14:textId="77777777" w:rsidR="002C48D3" w:rsidRDefault="000E441B">
          <w:pPr>
            <w:spacing w:before="60" w:after="0" w:line="240" w:lineRule="auto"/>
            <w:rPr>
              <w:rFonts w:ascii="Cormorant Garamond" w:hAnsi="Cormorant Garamond" w:cs="Cormorant Garamond"/>
              <w:caps/>
              <w:color w:val="605D5D"/>
              <w:spacing w:val="26"/>
              <w:sz w:val="13"/>
              <w:szCs w:val="13"/>
            </w:rPr>
          </w:pPr>
          <w:r>
            <w:rPr>
              <w:rFonts w:ascii="Cormorant Garamond" w:hAnsi="Cormorant Garamond" w:cs="Cormorant Garamond"/>
              <w:caps/>
              <w:color w:val="605D5D"/>
              <w:spacing w:val="26"/>
              <w:sz w:val="13"/>
              <w:szCs w:val="13"/>
            </w:rPr>
            <w:t>COMUNICAZIONE, RICERCA E FORMAZIONE</w:t>
          </w:r>
          <w:r>
            <w:br/>
          </w:r>
          <w:r>
            <w:rPr>
              <w:rFonts w:ascii="Cormorant Garamond" w:hAnsi="Cormorant Garamond" w:cs="Cormorant Garamond"/>
              <w:caps/>
              <w:color w:val="605D5D"/>
              <w:spacing w:val="26"/>
              <w:sz w:val="13"/>
              <w:szCs w:val="13"/>
            </w:rPr>
            <w:t>S.R.L. IMPRESA SOCIALE</w:t>
          </w:r>
        </w:p>
      </w:tc>
      <w:tc>
        <w:tcPr>
          <w:tcW w:w="3600" w:type="dxa"/>
          <w:vAlign w:val="center"/>
        </w:tcPr>
        <w:p w14:paraId="56D18B7E" w14:textId="77777777" w:rsidR="00926E86" w:rsidRDefault="001C05C1">
          <w:pPr>
            <w:spacing w:after="0" w:line="240" w:lineRule="auto"/>
            <w:jc w:val="right"/>
          </w:pPr>
          <w:r>
            <w:rPr>
              <w:noProof/>
            </w:rPr>
            <w:drawing>
              <wp:inline distT="0" distB="0" distL="0" distR="0" wp14:anchorId="11F3785A" wp14:editId="50B1B24D">
                <wp:extent cx="1647825" cy="929543"/>
                <wp:effectExtent l="0" t="0" r="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944" cy="937508"/>
                        </a:xfrm>
                        <a:prstGeom prst="rect">
                          <a:avLst/>
                        </a:prstGeom>
                        <a:noFill/>
                        <a:ln>
                          <a:noFill/>
                        </a:ln>
                      </pic:spPr>
                    </pic:pic>
                  </a:graphicData>
                </a:graphic>
              </wp:inline>
            </w:drawing>
          </w:r>
        </w:p>
      </w:tc>
    </w:tr>
  </w:tbl>
  <w:p w14:paraId="3F2DA3B9" w14:textId="77777777" w:rsidR="00300245" w:rsidRDefault="00300245">
    <w:pPr>
      <w:spacing w:after="0" w:line="240" w:lineRule="auto"/>
      <w:rPr>
        <w:sz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Garamond" w:hAnsi="Garamond" w:eastAsia="Garamond"/>
      <w:color w:val="201F1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Garamond" w:hAnsi="Garamond"/>
      <w:b/>
      <w:bCs/>
      <w:color w:val="B68235"/>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Garamond" w:hAnsi="Garamond"/>
      <w:b/>
      <w:bCs/>
      <w:color w:val="B68235"/>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Garamond" w:hAnsi="Garamond"/>
      <w:b/>
      <w:bCs/>
      <w:color w:val="201F1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MATRES S.r.l. Impresa Sociale – Il Vortice</dc:creator>
  <cp:keywords/>
  <dc:description>generated by python-docx</dc:description>
  <cp:lastModifiedBy/>
  <cp:revision>1</cp:revision>
  <dcterms:created xsi:type="dcterms:W3CDTF">2013-12-23T23:15:00Z</dcterms:created>
  <dcterms:modified xsi:type="dcterms:W3CDTF">2013-12-23T23:15:00Z</dcterms:modified>
  <cp:category/>
  <dc:language>it-IT</dc:language>
</cp:coreProperties>
</file>