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Contratto triennale per l'acquisto di abbonamenti a «Il Vortice» e adesione al Comitato editoriale</w:t>
      </w:r>
    </w:p>
    <w:p>
      <w:pPr>
        <w:jc w:val="center"/>
      </w:pPr>
      <w:r>
        <w:rPr>
          <w:i/>
          <w:color w:val="605D5D"/>
        </w:rPr>
        <w:t>Scrittura privata – schema per i nuovi enti</w:t>
      </w:r>
    </w:p>
    <w:p>
      <w:pPr>
        <w:jc w:val="both"/>
      </w:pPr>
      <w:r>
        <w:rPr>
          <w:b/>
          <w:i w:val="0"/>
        </w:rPr>
        <w:t>Tra</w:t>
      </w:r>
    </w:p>
    <w:p>
      <w:pPr>
        <w:jc w:val="both"/>
      </w:pPr>
      <w:r>
        <w:rPr>
          <w:b w:val="0"/>
          <w:i w:val="0"/>
        </w:rPr>
        <w:t>MATRES – Comunicazione, Ricerca e Formazione S.r.l. Impresa Sociale (già ONMIC Formazione S.r.l. Impresa Sociale), con sede legale in Salerno, Via Adriano Aurofino n. 25 (84127), C.F. e P.IVA 05819580654, REA SA-476404, iscritta al RUNTS, sezione Imprese sociali, rep. n. 34140, PEC matresrl@pec.it, editrice della testata «Il Vortice» (Registro della Stampa del Tribunale di Salerno n. 400 del 20/08/1974; ROC n. 2041), in persona dell'Amministratore Unico e legale rappresentante Vincenzo Siano, nato a Salerno il 27/10/1945, C.F. SNIVCN45R27H703Z (di seguito «l'Editore»)</w:t>
      </w:r>
    </w:p>
    <w:p>
      <w:pPr>
        <w:jc w:val="both"/>
      </w:pPr>
      <w:r>
        <w:rPr>
          <w:b/>
          <w:i w:val="0"/>
        </w:rPr>
        <w:t>e</w:t>
      </w:r>
    </w:p>
    <w:p>
      <w:pPr>
        <w:jc w:val="both"/>
      </w:pPr>
      <w:r>
        <w:rPr>
          <w:b w:val="0"/>
          <w:i w:val="0"/>
        </w:rPr>
        <w:t>[denominazione dell'ente], con sede legale in ______________, Via ______________ n. ___, C.F. ______________, P.IVA ______________, PEC ______________, in persona del legale rappresentante ______________, nato/a a ______________ il __________, C.F. ______________ (di seguito «l'Ente»)</w:t>
      </w:r>
    </w:p>
    <w:p>
      <w:pPr>
        <w:jc w:val="both"/>
      </w:pPr>
      <w:r>
        <w:rPr>
          <w:b w:val="0"/>
          <w:i w:val="0"/>
        </w:rPr>
        <w:t>di seguito, insieme, «le Parti».</w:t>
      </w:r>
    </w:p>
    <w:p>
      <w:pPr>
        <w:pStyle w:val="Heading3"/>
      </w:pPr>
      <w:r>
        <w:t>Premesso che</w:t>
      </w:r>
    </w:p>
    <w:p>
      <w:pPr>
        <w:pStyle w:val="ListBullet"/>
        <w:jc w:val="both"/>
      </w:pPr>
      <w:r>
        <w:rPr>
          <w:b w:val="0"/>
          <w:i w:val="0"/>
        </w:rPr>
        <w:t>l'Editore pubblica il mensile «Il Vortice», magazine di attualità, cultura, turismo, ambiente e Terzo settore, accessibile e multimediale;</w:t>
      </w:r>
    </w:p>
    <w:p>
      <w:pPr>
        <w:pStyle w:val="ListBullet"/>
        <w:jc w:val="both"/>
      </w:pPr>
      <w:r>
        <w:rPr>
          <w:b w:val="0"/>
          <w:i w:val="0"/>
        </w:rPr>
        <w:t>con Determina dell'Amministratore Unico n. ____ / 2026 l'Editore ha istituito il Comitato editoriale della testata e ne ha approvato il Regolamento, il listino e le agevolazioni; entrano automaticamente nel Comitato gli enti che acquistano almeno 100 abbonamenti annuali;</w:t>
      </w:r>
    </w:p>
    <w:p>
      <w:pPr>
        <w:pStyle w:val="ListBullet"/>
        <w:jc w:val="both"/>
      </w:pPr>
      <w:r>
        <w:rPr>
          <w:b w:val="0"/>
          <w:i w:val="0"/>
        </w:rPr>
        <w:t>l'Ente intende offrire gratuitamente l'abbonamento alla testata ai propri associati, volontari, utenti e beneficiari, per favorire l'accesso all'informazione, la cultura e l'inclusione sociale e digitale, in coerenza con le proprie finalità statutarie;</w:t>
      </w:r>
    </w:p>
    <w:p>
      <w:pPr>
        <w:jc w:val="both"/>
      </w:pPr>
      <w:r>
        <w:rPr>
          <w:b w:val="0"/>
          <w:i w:val="0"/>
        </w:rPr>
        <w:t xml:space="preserve">tutto ciò premesso, che forma parte integrante del contratto, </w:t>
      </w:r>
      <w:r>
        <w:rPr>
          <w:b/>
          <w:i w:val="0"/>
        </w:rPr>
        <w:t>si conviene e si stipula quanto segue</w:t>
      </w:r>
      <w:r>
        <w:rPr>
          <w:b w:val="0"/>
          <w:i w:val="0"/>
        </w:rPr>
        <w:t>.</w:t>
      </w:r>
    </w:p>
    <w:p>
      <w:pPr>
        <w:pStyle w:val="Heading3"/>
      </w:pPr>
      <w:r>
        <w:t>Art. 1 – Oggetto</w:t>
      </w:r>
    </w:p>
    <w:p>
      <w:pPr>
        <w:jc w:val="both"/>
      </w:pPr>
      <w:r>
        <w:rPr>
          <w:b w:val="0"/>
          <w:i w:val="0"/>
        </w:rPr>
        <w:t xml:space="preserve">1. L'Editore cede all'Ente, che acquista, </w:t>
      </w:r>
      <w:r>
        <w:rPr>
          <w:b/>
          <w:i w:val="0"/>
        </w:rPr>
        <w:t>_____ abbonamenti annuali</w:t>
      </w:r>
      <w:r>
        <w:rPr>
          <w:b w:val="0"/>
          <w:i w:val="0"/>
        </w:rPr>
        <w:t xml:space="preserve"> al mensile «Il Vortice» in formato digitale accessibile (12 numeri, con versione audio degli articoli e contenuti multimediali V-Cult).</w:t>
      </w:r>
    </w:p>
    <w:p>
      <w:pPr>
        <w:jc w:val="both"/>
      </w:pPr>
      <w:r>
        <w:rPr>
          <w:b w:val="0"/>
          <w:i w:val="0"/>
        </w:rPr>
        <w:t>2. Gli abbonamenti sono intestati alle persone indicate nell'elenco allegato (Allegato 1).</w:t>
      </w:r>
    </w:p>
    <w:p>
      <w:pPr>
        <w:jc w:val="both"/>
      </w:pPr>
      <w:r>
        <w:rPr>
          <w:b w:val="0"/>
          <w:i w:val="0"/>
        </w:rPr>
        <w:t>3. Con la firma del contratto l'Ente entra a far parte del Comitato editoriale de «Il Vortice», secondo il Regolamento allegato (Allegato 2), che l'Ente dichiara di conoscere e accettare.</w:t>
      </w:r>
    </w:p>
    <w:p>
      <w:pPr>
        <w:pStyle w:val="Heading3"/>
      </w:pPr>
      <w:r>
        <w:t>Art. 2 – Durata triennale, impegno di acquisto e rinnovo</w:t>
      </w:r>
    </w:p>
    <w:p>
      <w:pPr>
        <w:jc w:val="both"/>
      </w:pPr>
      <w:r>
        <w:rPr>
          <w:b w:val="0"/>
          <w:i w:val="0"/>
        </w:rPr>
        <w:t xml:space="preserve">1. Il contratto ha </w:t>
      </w:r>
      <w:r>
        <w:rPr>
          <w:b/>
          <w:i w:val="0"/>
        </w:rPr>
        <w:t>durata di tre anni</w:t>
      </w:r>
      <w:r>
        <w:rPr>
          <w:b w:val="0"/>
          <w:i w:val="0"/>
        </w:rPr>
        <w:t>, dal 1° novembre 2026 al 31 ottobre 2029, e comprende tre annualità di abbonamento: novembre 2026 – ottobre 2027, novembre 2027 – ottobre 2028, novembre 2028 – ottobre 2029.</w:t>
      </w:r>
    </w:p>
    <w:p>
      <w:pPr>
        <w:jc w:val="both"/>
      </w:pPr>
      <w:r>
        <w:rPr>
          <w:b w:val="0"/>
          <w:i w:val="0"/>
        </w:rPr>
        <w:t xml:space="preserve">2. L'Ente si impegna in modo fermo ad acquistare, per ciascuna delle tre annualità, almeno </w:t>
      </w:r>
      <w:r>
        <w:rPr>
          <w:b/>
          <w:i w:val="0"/>
        </w:rPr>
        <w:t>_____ abbonamenti</w:t>
      </w:r>
      <w:r>
        <w:rPr>
          <w:b w:val="0"/>
          <w:i w:val="0"/>
        </w:rPr>
        <w:t xml:space="preserve"> (quantitativo minimo garantito), anche se nel corso del triennio ne usa di meno. Per ogni annualità successiva alla prima, l'Ente aggiorna l'elenco degli abbonati entro il 30 settembre con il modulo M3; in mancanza, restano validi i nominativi dell'annualità precedente.</w:t>
      </w:r>
    </w:p>
    <w:p>
      <w:pPr>
        <w:jc w:val="both"/>
      </w:pPr>
      <w:r>
        <w:rPr>
          <w:b w:val="0"/>
          <w:i w:val="0"/>
        </w:rPr>
        <w:t>3. Il contratto è una somministrazione periodica di prodotti editoriali (artt. 1559 e seguenti c.c.) a tempo determinato: durante il triennio non è ammesso il recesso ad nutum, salvo quanto previsto dall'art. 11.</w:t>
      </w:r>
    </w:p>
    <w:p>
      <w:pPr>
        <w:jc w:val="both"/>
      </w:pPr>
      <w:r>
        <w:rPr>
          <w:b w:val="0"/>
          <w:i w:val="0"/>
        </w:rPr>
        <w:t>4. Alla scadenza del triennio il contratto si rinnova tacitamente di anno in anno, alle condizioni del listino allora in vigore, salvo disdetta inviata da una delle Parti per PEC almeno sei mesi prima della scadenza.</w:t>
      </w:r>
    </w:p>
    <w:p>
      <w:pPr>
        <w:pStyle w:val="Heading3"/>
      </w:pPr>
      <w:r>
        <w:t>Art. 3 – Corrispettivo e pagamento</w:t>
      </w:r>
    </w:p>
    <w:p>
      <w:pPr>
        <w:jc w:val="both"/>
      </w:pPr>
      <w:r>
        <w:rPr>
          <w:b w:val="0"/>
          <w:i w:val="0"/>
        </w:rPr>
        <w:t>1. Il corrispettivo è pari a _____ € per ciascun abbonamento, secondo la fascia di listino «__________», per un totale annuo di _____________ € e un totale per il triennio di _____________ €.</w:t>
      </w:r>
    </w:p>
    <w:p>
      <w:pPr>
        <w:jc w:val="both"/>
      </w:pPr>
      <w:r>
        <w:rPr>
          <w:b w:val="0"/>
          <w:i w:val="0"/>
        </w:rPr>
        <w:t xml:space="preserve">2. Il prezzo unitario resta </w:t>
      </w:r>
      <w:r>
        <w:rPr>
          <w:b/>
          <w:i w:val="0"/>
        </w:rPr>
        <w:t>fisso per tutto il triennio</w:t>
      </w:r>
      <w:r>
        <w:rPr>
          <w:b w:val="0"/>
          <w:i w:val="0"/>
        </w:rPr>
        <w:t>. Nei rinnovi successivi si applica il listino in vigore, che non può aumentare più della variazione annua dell'indice ISTAT dei prezzi al consumo per le famiglie di operai e impiegati (FOI).</w:t>
      </w:r>
    </w:p>
    <w:p>
      <w:pPr>
        <w:jc w:val="both"/>
      </w:pPr>
      <w:r>
        <w:rPr>
          <w:b w:val="0"/>
          <w:i w:val="0"/>
        </w:rPr>
        <w:t>3. I prezzi sono comprensivi dell'IVA, assolta dall'Editore secondo il regime dei prodotti editoriali (art. 74 D.P.R. 633/1972).</w:t>
      </w:r>
    </w:p>
    <w:p>
      <w:pPr>
        <w:jc w:val="both"/>
      </w:pPr>
      <w:r>
        <w:rPr>
          <w:b w:val="0"/>
          <w:i w:val="0"/>
        </w:rPr>
        <w:t>4. Il corrispettivo di ogni annualità è pagato in quattro rate trimestrali anticipate di pari importo, entro il 30 novembre, il 28 febbraio, il 31 maggio e il 31 agosto, con bonifico sul conto corrente intestato all'Editore, IBAN IT64 E087 8415 2000 1000 0060 119, dietro emissione di fattura.</w:t>
      </w:r>
    </w:p>
    <w:p>
      <w:pPr>
        <w:jc w:val="both"/>
      </w:pPr>
      <w:r>
        <w:rPr>
          <w:b w:val="0"/>
          <w:i w:val="0"/>
        </w:rPr>
        <w:t>5. Gli abbonamenti aggiunti oltre il minimo garantito sono fatturati in proporzione ai mesi residui dell'annualità.</w:t>
      </w:r>
    </w:p>
    <w:p>
      <w:pPr>
        <w:jc w:val="both"/>
      </w:pPr>
      <w:r>
        <w:rPr>
          <w:b w:val="0"/>
          <w:i w:val="0"/>
        </w:rPr>
        <w:t>6. In caso di ritardo superiore a 60 giorni l'Editore può sospendere l'invio dei numeri e le agevolazioni, previa diffida scritta.</w:t>
      </w:r>
    </w:p>
    <w:p>
      <w:pPr>
        <w:pStyle w:val="Heading3"/>
      </w:pPr>
      <w:r>
        <w:t>Art. 4 – Invio dei numeri</w:t>
      </w:r>
    </w:p>
    <w:p>
      <w:pPr>
        <w:jc w:val="both"/>
      </w:pPr>
      <w:r>
        <w:rPr>
          <w:b w:val="0"/>
          <w:i w:val="0"/>
        </w:rPr>
        <w:t>1. Ogni mese l'Editore invia a ciascun abbonato, all'indirizzo e-mail indicato nell'elenco, il nuovo numero o il link per scaricarlo, in formato accessibile secondo gli standard WCAG.</w:t>
      </w:r>
    </w:p>
    <w:p>
      <w:pPr>
        <w:jc w:val="both"/>
      </w:pPr>
      <w:r>
        <w:rPr>
          <w:b w:val="0"/>
          <w:i w:val="0"/>
        </w:rPr>
        <w:t>2. Per gli abbonati senza e-mail, l'Ente può chiedere l'invio a un proprio indirizzo di riferimento o la consegna di copie stampate, a prezzo da concordare.</w:t>
      </w:r>
    </w:p>
    <w:p>
      <w:pPr>
        <w:pStyle w:val="Heading3"/>
      </w:pPr>
      <w:r>
        <w:t>Art. 5 – Variazioni dell'elenco</w:t>
      </w:r>
    </w:p>
    <w:p>
      <w:pPr>
        <w:jc w:val="both"/>
      </w:pPr>
      <w:r>
        <w:rPr>
          <w:b w:val="0"/>
          <w:i w:val="0"/>
        </w:rPr>
        <w:t>1. L'Ente può sostituire in ogni momento i nominativi degli abbonati, senza costi, con il modulo M3. La sostituzione vale dal numero successivo.</w:t>
      </w:r>
    </w:p>
    <w:p>
      <w:pPr>
        <w:jc w:val="both"/>
      </w:pPr>
      <w:r>
        <w:rPr>
          <w:b w:val="0"/>
          <w:i w:val="0"/>
        </w:rPr>
        <w:t>2. L'Ente può aggiungere abbonamenti in corso d'anno alla stessa tariffa; il corrispettivo è calcolato in proporzione ai mesi residui. Gli abbonamenti aggiunti valgono fino al termine dell'annualità e non modificano il minimo garantito.</w:t>
      </w:r>
    </w:p>
    <w:p>
      <w:pPr>
        <w:jc w:val="both"/>
      </w:pPr>
      <w:r>
        <w:rPr>
          <w:b w:val="0"/>
          <w:i w:val="0"/>
        </w:rPr>
        <w:t>3. Il numero di abbonamenti non può scendere sotto il minimo garantito dell'art. 2. Non sono previsti rimborsi per abbonamenti non usati; quelli liberi possono essere assegnati ad altre persone o diventare «sospesi» (art. 6).</w:t>
      </w:r>
    </w:p>
    <w:p>
      <w:pPr>
        <w:pStyle w:val="Heading3"/>
      </w:pPr>
      <w:r>
        <w:t>Art. 6 – Abbonamenti sospesi</w:t>
      </w:r>
    </w:p>
    <w:p>
      <w:pPr>
        <w:jc w:val="both"/>
      </w:pPr>
      <w:r>
        <w:rPr>
          <w:b w:val="0"/>
          <w:i w:val="0"/>
        </w:rPr>
        <w:t>L'Ente può destinare in tutto o in parte gli abbonamenti non intestati ad «abbonamenti sospesi», cioè offerti ad altri enti del Terzo settore di piccole dimensioni, a scuole o a persone in difficoltà indicate dall'Ente o, in mancanza, dalla redazione.</w:t>
      </w:r>
    </w:p>
    <w:p>
      <w:pPr>
        <w:pStyle w:val="Heading3"/>
      </w:pPr>
      <w:r>
        <w:t>Art. 7 – Comitato editoriale e agevolazioni</w:t>
      </w:r>
    </w:p>
    <w:p>
      <w:pPr>
        <w:jc w:val="both"/>
      </w:pPr>
      <w:r>
        <w:rPr>
          <w:b w:val="0"/>
          <w:i w:val="0"/>
        </w:rPr>
        <w:t>1. Spettano all'Ente le agevolazioni della propria fascia indicate nel listino (Allegato 3).</w:t>
      </w:r>
    </w:p>
    <w:p>
      <w:pPr>
        <w:jc w:val="both"/>
      </w:pPr>
      <w:r>
        <w:rPr>
          <w:b w:val="0"/>
          <w:i w:val="0"/>
        </w:rPr>
        <w:t>2. Le pagine dedicate e i contenuti per i social sono gestiti secondo l'art. 7 del Regolamento: l'Ente fornisce i materiali con il modulo M4, nei tempi previsti, e ne garantisce la liceità, i diritti d'uso e i consensi delle persone ritratte.</w:t>
      </w:r>
    </w:p>
    <w:p>
      <w:pPr>
        <w:jc w:val="both"/>
      </w:pPr>
      <w:r>
        <w:rPr>
          <w:b w:val="0"/>
          <w:i w:val="0"/>
        </w:rPr>
        <w:t>3. Restano ferme l'autonomia della redazione e le prerogative del direttore responsabile. Le pagine sono pubblicate con la dicitura «Spazio a cura di …».</w:t>
      </w:r>
    </w:p>
    <w:p>
      <w:pPr>
        <w:pStyle w:val="Heading3"/>
      </w:pPr>
      <w:r>
        <w:t>Art. 8 – Rappresentante nel Comitato</w:t>
      </w:r>
    </w:p>
    <w:p>
      <w:pPr>
        <w:jc w:val="both"/>
      </w:pPr>
      <w:r>
        <w:rPr>
          <w:b w:val="0"/>
          <w:i w:val="0"/>
        </w:rPr>
        <w:t>Entro 30 giorni dalla firma l'Ente designa il proprio rappresentante effettivo e il supplente nel Comitato editoriale, con il modulo M2.</w:t>
      </w:r>
    </w:p>
    <w:p>
      <w:pPr>
        <w:pStyle w:val="Heading3"/>
      </w:pPr>
      <w:r>
        <w:t>Art. 9 – Trattamento dei dati personali</w:t>
      </w:r>
    </w:p>
    <w:p>
      <w:pPr>
        <w:jc w:val="both"/>
      </w:pPr>
      <w:r>
        <w:rPr>
          <w:b w:val="0"/>
          <w:i w:val="0"/>
        </w:rPr>
        <w:t>1. L'Ente comunica all'Editore i dati degli abbonati (nome, cognome, e-mail ed eventualmente indirizzo e telefono) al solo fine dell'invio della testata. L'Ente garantisce di aver informato gli interessati e di disporre di una base giuridica idonea per la comunicazione.</w:t>
      </w:r>
    </w:p>
    <w:p>
      <w:pPr>
        <w:jc w:val="both"/>
      </w:pPr>
      <w:r>
        <w:rPr>
          <w:b w:val="0"/>
          <w:i w:val="0"/>
        </w:rPr>
        <w:t>2. L'Editore tratta tali dati come titolare autonomo, solo per l'invio della testata e le comunicazioni sull'abbonamento, secondo l'informativa allegata (Allegato 4), che invierà a ogni abbonato con il primo numero. Ogni abbonato può disdire l'invio in qualsiasi momento.</w:t>
      </w:r>
    </w:p>
    <w:p>
      <w:pPr>
        <w:jc w:val="both"/>
      </w:pPr>
      <w:r>
        <w:rPr>
          <w:b w:val="0"/>
          <w:i w:val="0"/>
        </w:rPr>
        <w:t>3. Le Parti regolano i rispettivi obblighi con l'accordo sulla comunicazione dei dati (Allegato 5), nel rispetto del Regolamento UE 2016/679 e del D.Lgs. 196/2003.</w:t>
      </w:r>
    </w:p>
    <w:p>
      <w:pPr>
        <w:pStyle w:val="Heading3"/>
      </w:pPr>
      <w:r>
        <w:t>Art. 10 – Uso dei nomi e dei loghi</w:t>
      </w:r>
    </w:p>
    <w:p>
      <w:pPr>
        <w:jc w:val="both"/>
      </w:pPr>
      <w:r>
        <w:rPr>
          <w:b w:val="0"/>
          <w:i w:val="0"/>
        </w:rPr>
        <w:t>Ciascuna Parte autorizza l'altra a usare la propria denominazione e il proprio logo solo per comunicare l'adesione al Comitato editoriale e le iniziative comuni, per la durata del contratto.</w:t>
      </w:r>
    </w:p>
    <w:p>
      <w:pPr>
        <w:pStyle w:val="Heading3"/>
      </w:pPr>
      <w:r>
        <w:t>Art. 11 – Recesso e risoluzione</w:t>
      </w:r>
    </w:p>
    <w:p>
      <w:pPr>
        <w:jc w:val="both"/>
      </w:pPr>
      <w:r>
        <w:rPr>
          <w:b w:val="0"/>
          <w:i w:val="0"/>
        </w:rPr>
        <w:t>1. Durante il triennio l'Ente può recedere, con preavviso di 90 giorni inviato per PEC, solo per giusta causa: a) cessazione o sospensione della pubblicazione della testata per più di tre numeri consecutivi; b) gravi e ripetuti inadempimenti dell'Editore nell'invio dei numeri, contestati per PEC e non sanati entro 30 giorni; c) scioglimento, estinzione o liquidazione dell'Ente, o cancellazione dal RUNTS o dal Registro delle imprese. Nei casi a) e b) l'Editore rimborsa la parte del corrispettivo già pagata per i numeri non inviati.</w:t>
      </w:r>
    </w:p>
    <w:p>
      <w:pPr>
        <w:jc w:val="both"/>
      </w:pPr>
      <w:r>
        <w:rPr>
          <w:b w:val="0"/>
          <w:i w:val="0"/>
        </w:rPr>
        <w:t>2. Se l'Ente recede fuori dai casi del comma 1, o non paga, l'Editore ha diritto, a titolo di penale ai sensi dell'art. 1382 c.c., al 50% dei corrispettivi del minimo garantito dovuti per il periodo residuo del triennio, oltre alle rate già scadute.</w:t>
      </w:r>
    </w:p>
    <w:p>
      <w:pPr>
        <w:jc w:val="both"/>
      </w:pPr>
      <w:r>
        <w:rPr>
          <w:b w:val="0"/>
          <w:i w:val="0"/>
        </w:rPr>
        <w:t>3. Il contratto si risolve di diritto, ai sensi dell'art. 1456 c.c., se l'Ente non paga due rate consecutive o se una delle Parti viola gli obblighi sui dati personali (art. 9), previa comunicazione per PEC dell'altra Parte; in caso di mancato pagamento si applica la penale del comma 2.</w:t>
      </w:r>
    </w:p>
    <w:p>
      <w:pPr>
        <w:jc w:val="both"/>
      </w:pPr>
      <w:r>
        <w:rPr>
          <w:b w:val="0"/>
          <w:i w:val="0"/>
        </w:rPr>
        <w:t>4. La cessazione del contratto comporta la cessazione della qualità di membro del Comitato editoriale.</w:t>
      </w:r>
    </w:p>
    <w:p>
      <w:pPr>
        <w:pStyle w:val="Heading3"/>
      </w:pPr>
      <w:r>
        <w:t>Art. 12 – Cessione dei crediti e attestazioni</w:t>
      </w:r>
    </w:p>
    <w:p>
      <w:pPr>
        <w:jc w:val="both"/>
      </w:pPr>
      <w:r>
        <w:rPr>
          <w:b w:val="0"/>
          <w:i w:val="0"/>
        </w:rPr>
        <w:t>1. L'Ente accetta fin d'ora, ai sensi dell'art. 1264 c.c., che l'Editore possa cedere i crediti derivanti dal contratto, anche futuri, a banche o intermediari finanziari autorizzati, anche a garanzia di finanziamenti; la cessione è efficace verso l'Ente dalla notifica per PEC.</w:t>
      </w:r>
    </w:p>
    <w:p>
      <w:pPr>
        <w:jc w:val="both"/>
      </w:pPr>
      <w:r>
        <w:rPr>
          <w:b w:val="0"/>
          <w:i w:val="0"/>
        </w:rPr>
        <w:t>2. Su richiesta dell'Editore, l'Ente rilascia una dichiarazione sull'esistenza del contratto, sul minimo garantito e sullo stato dei pagamenti, da presentare a banche, enti finanziatori o pubbliche amministrazioni.</w:t>
      </w:r>
    </w:p>
    <w:p>
      <w:pPr>
        <w:pStyle w:val="Heading3"/>
      </w:pPr>
      <w:r>
        <w:t>Art. 13 – Comunicazioni, spese e foro</w:t>
      </w:r>
    </w:p>
    <w:p>
      <w:pPr>
        <w:jc w:val="both"/>
      </w:pPr>
      <w:r>
        <w:rPr>
          <w:b w:val="0"/>
          <w:i w:val="0"/>
        </w:rPr>
        <w:t>1. Le comunicazioni tra le Parti si fanno per PEC agli indirizzi indicati in epigrafe.</w:t>
      </w:r>
    </w:p>
    <w:p>
      <w:pPr>
        <w:jc w:val="both"/>
      </w:pPr>
      <w:r>
        <w:rPr>
          <w:b w:val="0"/>
          <w:i w:val="0"/>
        </w:rPr>
        <w:t>2. Il contratto è redatto in forma di scrittura privata, soggetta a registrazione solo in caso d'uso; l'imposta di bollo, se dovuta e salvo esenzione ai sensi dell'art. 82, c. 5, D.Lgs. 117/2017, è a carico dell'Ente.</w:t>
      </w:r>
    </w:p>
    <w:p>
      <w:pPr>
        <w:jc w:val="both"/>
      </w:pPr>
      <w:r>
        <w:rPr>
          <w:b w:val="0"/>
          <w:i w:val="0"/>
        </w:rPr>
        <w:t>3. Per ogni controversia è competente in via esclusiva il Foro di Salerno.</w:t>
      </w:r>
    </w:p>
    <w:p>
      <w:pPr>
        <w:jc w:val="both"/>
      </w:pPr>
      <w:r>
        <w:rPr>
          <w:b w:val="0"/>
          <w:i/>
        </w:rPr>
        <w:t>Allegati: 1. Elenco degli abbonati; 2. Regolamento del Comitato editoriale; 3. Listino abbonamenti e agevolazioni; 4. Informativa privacy agli abbonati; 5. Accordo sulla comunicazione dei dati.</w:t>
      </w:r>
    </w:p>
    <w:p>
      <w:pPr>
        <w:jc w:val="left"/>
      </w:pPr>
      <w:r>
        <w:rPr>
          <w:b w:val="0"/>
          <w:i w:val="0"/>
        </w:rPr>
        <w:t>Salerno, ____________________</w:t>
      </w:r>
    </w:p>
    <w:tbl>
      <w:tblPr>
        <w:tblW w:type="auto" w:w="0"/>
        <w:tblLook w:firstColumn="1" w:firstRow="1" w:lastColumn="0" w:lastRow="0" w:noHBand="0" w:noVBand="1" w:val="04A0"/>
      </w:tblPr>
      <w:tblGrid>
        <w:gridCol w:w="4320"/>
        <w:gridCol w:w="4320"/>
      </w:tblGrid>
      <w:tr>
        <w:tc>
          <w:tcPr>
            <w:tcW w:type="dxa" w:w="4320"/>
          </w:tcPr>
          <w:p>
            <w:pPr>
              <w:jc w:val="center"/>
            </w:pPr>
            <w:r/>
            <w:r>
              <w:rPr>
                <w:b/>
                <w:sz w:val="22"/>
              </w:rPr>
              <w:t>Per l'Editore – MATRES S.r.l. IS</w:t>
            </w:r>
          </w:p>
          <w:p>
            <w:pPr>
              <w:jc w:val="center"/>
            </w:pPr>
            <w:r>
              <w:rPr>
                <w:sz w:val="22"/>
              </w:rPr>
              <w:t>L'Amministratore Unico – Vincenzo Siano</w:t>
            </w:r>
          </w:p>
        </w:tc>
        <w:tc>
          <w:tcPr>
            <w:tcW w:type="dxa" w:w="4320"/>
          </w:tcPr>
          <w:p>
            <w:pPr>
              <w:jc w:val="center"/>
            </w:pPr>
            <w:r/>
            <w:r>
              <w:rPr>
                <w:b/>
                <w:sz w:val="22"/>
              </w:rPr>
              <w:t>Per l'Ente – __________</w:t>
            </w:r>
          </w:p>
          <w:p>
            <w:pPr>
              <w:jc w:val="center"/>
            </w:pPr>
            <w:r>
              <w:rPr>
                <w:sz w:val="22"/>
              </w:rPr>
              <w:t>Il legale rappresentante</w:t>
            </w:r>
          </w:p>
        </w:tc>
      </w:tr>
      <w:tr>
        <w:tc>
          <w:tcPr>
            <w:tcW w:type="dxa" w:w="4320"/>
          </w:tcPr>
          <w:p>
            <w:pPr>
              <w:spacing w:before="560"/>
              <w:jc w:val="center"/>
            </w:pPr>
            <w:r/>
            <w:r>
              <w:t>______________________________</w:t>
            </w:r>
          </w:p>
        </w:tc>
        <w:tc>
          <w:tcPr>
            <w:tcW w:type="dxa" w:w="4320"/>
          </w:tcPr>
          <w:p>
            <w:pPr>
              <w:spacing w:before="560"/>
              <w:jc w:val="center"/>
            </w:pPr>
            <w:r/>
            <w:r>
              <w:t>______________________________</w:t>
            </w:r>
          </w:p>
        </w:tc>
      </w:tr>
    </w:tbl>
    <w:p>
      <w:pPr>
        <w:jc w:val="both"/>
      </w:pPr>
      <w:r>
        <w:rPr>
          <w:b w:val="0"/>
          <w:i w:val="0"/>
          <w:sz w:val="21"/>
        </w:rPr>
        <w:t>Ai sensi degli artt. 1341 e 1342 c.c. l'Ente approva specificamente gli artt. 2 (durata triennale, impegno di acquisto, esclusione del recesso e rinnovo tacito), 3, c. 6 (sospensione), 5, c. 3 (minimo garantito e nessun rimborso), 11 (limiti al recesso, penale e risoluzione), 12 (cessione dei crediti) e 13, c. 3 (foro competente).</w:t>
      </w:r>
    </w:p>
    <w:tbl>
      <w:tblPr>
        <w:tblW w:type="auto" w:w="0"/>
        <w:tblLook w:firstColumn="1" w:firstRow="1" w:lastColumn="0" w:lastRow="0" w:noHBand="0" w:noVBand="1" w:val="04A0"/>
      </w:tblPr>
      <w:tblGrid>
        <w:gridCol w:w="8640"/>
      </w:tblGrid>
      <w:tr>
        <w:tc>
          <w:tcPr>
            <w:tcW w:type="dxa" w:w="8640"/>
          </w:tcPr>
          <w:p>
            <w:pPr>
              <w:jc w:val="center"/>
            </w:pPr>
            <w:r/>
            <w:r>
              <w:rPr>
                <w:b/>
                <w:sz w:val="22"/>
              </w:rPr>
              <w:t>Per l'Ente</w:t>
            </w:r>
          </w:p>
          <w:p>
            <w:pPr>
              <w:jc w:val="center"/>
            </w:pPr>
            <w:r>
              <w:rPr>
                <w:sz w:val="22"/>
              </w:rPr>
              <w:t>______________________</w:t>
            </w:r>
          </w:p>
        </w:tc>
      </w:tr>
      <w:tr>
        <w:tc>
          <w:tcPr>
            <w:tcW w:type="dxa" w:w="8640"/>
          </w:tcPr>
          <w:p>
            <w:pPr>
              <w:spacing w:before="560"/>
              <w:jc w:val="center"/>
            </w:pPr>
            <w:r/>
            <w:r>
              <w:t>______________________________</w:t>
            </w:r>
          </w:p>
        </w:tc>
      </w:tr>
    </w:tbl>
    <w:sectPr w:rsidR="00FC693F" w:rsidRPr="0006063C" w:rsidSect="00034616">
      <w:headerReference w:type="default" r:id="rId9"/>
      <w:footerReference w:type="default" r:id="rId10"/>
      <w:pgSz w:w="11906" w:h="16838"/>
      <w:pgMar w:top="2268" w:right="1418" w:bottom="1418" w:left="1418" w:header="794" w:footer="5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6132A14C" w14:textId="77777777" w:rsidR="00300245" w:rsidRDefault="000E441B">
    <w:pPr>
      <w:pBdr>
        <w:top w:val="single" w:sz="4" w:space="6" w:color="B68235"/>
      </w:pBdr>
      <w:spacing w:after="0" w:line="240" w:lineRule="auto"/>
      <w:jc w:val="center"/>
      <w:rPr>
        <w:rFonts w:ascii="Cormorant Garamond" w:hAnsi="Cormorant Garamond" w:cs="Cormorant Garamond"/>
        <w:caps/>
        <w:color w:val="605D5D"/>
        <w:spacing w:val="22"/>
        <w:sz w:val="12"/>
        <w:szCs w:val="12"/>
      </w:rPr>
    </w:pPr>
    <w:r>
      <w:rPr>
        <w:rFonts w:ascii="Cormorant Garamond" w:hAnsi="Cormorant Garamond" w:cs="Cormorant Garamond"/>
        <w:caps/>
        <w:color w:val="605D5D"/>
        <w:spacing w:val="22"/>
        <w:sz w:val="12"/>
        <w:szCs w:val="12"/>
      </w:rPr>
      <w:t>vIA aDRIANO AUROFINO, 25 – 84127 sALERNO (SA)</w:t>
    </w:r>
  </w:p>
  <w:p w14:paraId="6E62D9EA" w14:textId="77777777" w:rsidR="000E441B" w:rsidRPr="000E441B" w:rsidRDefault="000E441B">
    <w:pPr>
      <w:pBdr>
        <w:top w:val="single" w:sz="4" w:space="6" w:color="B68235"/>
      </w:pBdr>
      <w:spacing w:after="0" w:line="240" w:lineRule="auto"/>
      <w:jc w:val="center"/>
      <w:rPr>
        <w:lang w:val="fr-FR"/>
      </w:rPr>
    </w:pPr>
    <w:r w:rsidRPr="000E441B">
      <w:rPr>
        <w:rFonts w:ascii="Cormorant Garamond" w:hAnsi="Cormorant Garamond" w:cs="Cormorant Garamond"/>
        <w:caps/>
        <w:color w:val="605D5D"/>
        <w:spacing w:val="22"/>
        <w:sz w:val="12"/>
        <w:szCs w:val="12"/>
        <w:lang w:val="fr-FR"/>
      </w:rPr>
      <w:t>cf/p</w:t>
    </w:r>
    <w:r>
      <w:rPr>
        <w:rFonts w:ascii="Cormorant Garamond" w:hAnsi="Cormorant Garamond" w:cs="Cormorant Garamond"/>
        <w:caps/>
        <w:color w:val="605D5D"/>
        <w:spacing w:val="22"/>
        <w:sz w:val="12"/>
        <w:szCs w:val="12"/>
        <w:lang w:val="fr-FR"/>
      </w:rPr>
      <w:t xml:space="preserve">.iva 05819580654 - </w:t>
    </w:r>
    <w:r w:rsidRPr="000E441B">
      <w:rPr>
        <w:rFonts w:ascii="Cormorant Garamond" w:hAnsi="Cormorant Garamond" w:cs="Cormorant Garamond"/>
        <w:caps/>
        <w:color w:val="605D5D"/>
        <w:spacing w:val="22"/>
        <w:sz w:val="12"/>
        <w:szCs w:val="12"/>
        <w:lang w:val="fr-FR"/>
      </w:rPr>
      <w:t>tEL</w:t>
    </w:r>
    <w:proofErr w:type="gramStart"/>
    <w:r w:rsidRPr="000E441B">
      <w:rPr>
        <w:rFonts w:ascii="Cormorant Garamond" w:hAnsi="Cormorant Garamond" w:cs="Cormorant Garamond"/>
        <w:caps/>
        <w:color w:val="605D5D"/>
        <w:spacing w:val="22"/>
        <w:sz w:val="12"/>
        <w:szCs w:val="12"/>
        <w:lang w:val="fr-FR"/>
      </w:rPr>
      <w:t>.:</w:t>
    </w:r>
    <w:proofErr w:type="gramEnd"/>
    <w:r w:rsidRPr="000E441B">
      <w:rPr>
        <w:rFonts w:ascii="Cormorant Garamond" w:hAnsi="Cormorant Garamond" w:cs="Cormorant Garamond"/>
        <w:caps/>
        <w:color w:val="605D5D"/>
        <w:spacing w:val="22"/>
        <w:sz w:val="12"/>
        <w:szCs w:val="12"/>
        <w:lang w:val="fr-FR"/>
      </w:rPr>
      <w:t xml:space="preserve">089-724572 e-mAIL: MATRESSRL@GMAIL.COM </w:t>
    </w:r>
  </w:p>
  <w:p>
    <w:pPr>
      <w:spacing w:before="40"/>
      <w:jc w:val="center"/>
    </w:pPr>
    <w:r>
      <w:rPr>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w="9644" w:type="dxa"/>
      <w:tblInd w:w="-709" w:type="dxa"/>
      <w:tblBorders>
        <w:bottom w:val="single" w:sz="4" w:space="0" w:color="D6D3D3"/>
      </w:tblBorders>
      <w:tblCellMar>
        <w:left w:w="0" w:type="dxa"/>
        <w:bottom w:w="140" w:type="dxa"/>
        <w:right w:w="0" w:type="dxa"/>
      </w:tblCellMar>
      <w:tblLook w:val="04A0" w:firstRow="1" w:lastRow="0" w:firstColumn="1" w:lastColumn="0" w:noHBand="0" w:noVBand="1"/>
    </w:tblPr>
    <w:tblGrid>
      <w:gridCol w:w="142"/>
      <w:gridCol w:w="5902"/>
      <w:gridCol w:w="3600"/>
    </w:tblGrid>
    <w:tr w:rsidR="000E441B" w:rsidRPr="000E441B" w14:paraId="3FE13EA9" w14:textId="77777777" w:rsidTr="002C48D3">
      <w:trPr>
        <w:trHeight w:val="1500"/>
      </w:trPr>
      <w:tc>
        <w:tcPr>
          <w:tcW w:w="142" w:type="dxa"/>
          <w:vAlign w:val="center"/>
        </w:tcPr>
        <w:p w14:paraId="013E13F0" w14:textId="77777777" w:rsidR="000E441B" w:rsidRDefault="000E441B">
          <w:pPr>
            <w:spacing w:after="0"/>
          </w:pPr>
        </w:p>
      </w:tc>
      <w:tc>
        <w:tcPr>
          <w:tcW w:w="5902" w:type="dxa"/>
          <w:vAlign w:val="center"/>
        </w:tcPr>
        <w:p w14:paraId="458F7F61" w14:textId="77777777" w:rsidR="000E441B" w:rsidRDefault="002C48D3" w:rsidP="002C48D3">
          <w:pPr>
            <w:pStyle w:val="Paragrafoelenco"/>
            <w:numPr>
              <w:ilvl w:val="0"/>
              <w:numId w:val="1"/>
            </w:numPr>
            <w:pBdr>
              <w:bottom w:val="single" w:sz="4" w:space="2" w:color="B68235"/>
            </w:pBdr>
            <w:tabs>
              <w:tab w:val="clear" w:pos="720"/>
            </w:tabs>
            <w:spacing w:after="40" w:line="240" w:lineRule="auto"/>
            <w:ind w:left="3"/>
          </w:pPr>
          <w:r w:rsidRPr="00624294">
            <w:rPr>
              <w:noProof/>
            </w:rPr>
            <w:drawing>
              <wp:inline distT="0" distB="0" distL="0" distR="0" wp14:anchorId="3A972F5B" wp14:editId="55009225">
                <wp:extent cx="323850" cy="323850"/>
                <wp:effectExtent l="0" t="0" r="0" b="0"/>
                <wp:docPr id="75" name="Simbolo Ma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bolo Matr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Pr>
              <w:noProof/>
            </w:rPr>
            <w:t xml:space="preserve"> </w:t>
          </w:r>
          <w:r w:rsidR="000E441B" w:rsidRPr="002C48D3">
            <w:rPr>
              <w:rFonts w:ascii="Cormorant Garamond" w:hAnsi="Cormorant Garamond" w:cs="Cormorant Garamond"/>
              <w:caps/>
              <w:spacing w:val="48"/>
              <w:sz w:val="40"/>
              <w:szCs w:val="40"/>
            </w:rPr>
            <w:t>MATRES</w:t>
          </w:r>
        </w:p>
        <w:p w14:paraId="2D1697FD" w14:textId="77777777" w:rsidR="002C48D3" w:rsidRDefault="000E441B">
          <w:pPr>
            <w:spacing w:before="60" w:after="0" w:line="240" w:lineRule="auto"/>
            <w:rPr>
              <w:rFonts w:ascii="Cormorant Garamond" w:hAnsi="Cormorant Garamond" w:cs="Cormorant Garamond"/>
              <w:caps/>
              <w:color w:val="605D5D"/>
              <w:spacing w:val="26"/>
              <w:sz w:val="13"/>
              <w:szCs w:val="13"/>
            </w:rPr>
          </w:pPr>
          <w:r>
            <w:rPr>
              <w:rFonts w:ascii="Cormorant Garamond" w:hAnsi="Cormorant Garamond" w:cs="Cormorant Garamond"/>
              <w:caps/>
              <w:color w:val="605D5D"/>
              <w:spacing w:val="26"/>
              <w:sz w:val="13"/>
              <w:szCs w:val="13"/>
            </w:rPr>
            <w:t>COMUNICAZIONE, RICERCA E FORMAZIONE</w:t>
          </w:r>
          <w:r>
            <w:br/>
          </w:r>
          <w:r>
            <w:rPr>
              <w:rFonts w:ascii="Cormorant Garamond" w:hAnsi="Cormorant Garamond" w:cs="Cormorant Garamond"/>
              <w:caps/>
              <w:color w:val="605D5D"/>
              <w:spacing w:val="26"/>
              <w:sz w:val="13"/>
              <w:szCs w:val="13"/>
            </w:rPr>
            <w:t>S.R.L. IMPRESA SOCIALE</w:t>
          </w:r>
        </w:p>
      </w:tc>
      <w:tc>
        <w:tcPr>
          <w:tcW w:w="3600" w:type="dxa"/>
          <w:vAlign w:val="center"/>
        </w:tcPr>
        <w:p w14:paraId="56D18B7E" w14:textId="77777777" w:rsidR="00926E86" w:rsidRDefault="001C05C1">
          <w:pPr>
            <w:spacing w:after="0" w:line="240" w:lineRule="auto"/>
            <w:jc w:val="right"/>
          </w:pPr>
          <w:r>
            <w:rPr>
              <w:noProof/>
            </w:rPr>
            <w:drawing>
              <wp:inline distT="0" distB="0" distL="0" distR="0" wp14:anchorId="11F3785A" wp14:editId="50B1B24D">
                <wp:extent cx="1647825" cy="929543"/>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944" cy="937508"/>
                        </a:xfrm>
                        <a:prstGeom prst="rect">
                          <a:avLst/>
                        </a:prstGeom>
                        <a:noFill/>
                        <a:ln>
                          <a:noFill/>
                        </a:ln>
                      </pic:spPr>
                    </pic:pic>
                  </a:graphicData>
                </a:graphic>
              </wp:inline>
            </w:drawing>
          </w:r>
        </w:p>
      </w:tc>
    </w:tr>
  </w:tbl>
  <w:p w14:paraId="3F2DA3B9" w14:textId="77777777" w:rsidR="00300245" w:rsidRDefault="00300245">
    <w:pPr>
      <w:spacing w:after="0" w:line="240" w:lineRule="auto"/>
      <w:rPr>
        <w:sz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Garamond" w:hAnsi="Garamond" w:eastAsia="Garamond"/>
      <w:color w:val="201F1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Garamond" w:hAnsi="Garamond"/>
      <w:b/>
      <w:bCs/>
      <w:color w:val="B68235"/>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Garamond" w:hAnsi="Garamond"/>
      <w:b/>
      <w:bCs/>
      <w:color w:val="B68235"/>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Garamond" w:hAnsi="Garamond"/>
      <w:b/>
      <w:bCs/>
      <w:color w:val="201F1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MATRES S.r.l. Impresa Sociale – Il Vortice</dc:creator>
  <cp:keywords/>
  <dc:description>generated by python-docx</dc:description>
  <cp:lastModifiedBy/>
  <cp:revision>1</cp:revision>
  <dcterms:created xsi:type="dcterms:W3CDTF">2013-12-23T23:15:00Z</dcterms:created>
  <dcterms:modified xsi:type="dcterms:W3CDTF">2013-12-23T23:15:00Z</dcterms:modified>
  <cp:category/>
  <dc:language>it-IT</dc:language>
</cp:coreProperties>
</file>